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70" w:rsidRPr="00CC6DC3" w:rsidRDefault="00436570" w:rsidP="00436570">
      <w:pPr>
        <w:autoSpaceDE w:val="0"/>
        <w:autoSpaceDN w:val="0"/>
        <w:adjustRightInd w:val="0"/>
        <w:spacing w:after="0" w:line="360" w:lineRule="auto"/>
        <w:rPr>
          <w:rFonts w:ascii="Times New Roman" w:hAnsi="Times New Roman"/>
          <w:b/>
          <w:sz w:val="24"/>
          <w:szCs w:val="24"/>
        </w:rPr>
      </w:pPr>
    </w:p>
    <w:tbl>
      <w:tblPr>
        <w:tblW w:w="4786" w:type="dxa"/>
        <w:jc w:val="center"/>
        <w:tblLook w:val="04A0" w:firstRow="1" w:lastRow="0" w:firstColumn="1" w:lastColumn="0" w:noHBand="0" w:noVBand="1"/>
      </w:tblPr>
      <w:tblGrid>
        <w:gridCol w:w="4786"/>
      </w:tblGrid>
      <w:tr w:rsidR="00436570" w:rsidRPr="00BA3D16" w:rsidTr="00436570">
        <w:trPr>
          <w:trHeight w:val="78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autoSpaceDE w:val="0"/>
              <w:autoSpaceDN w:val="0"/>
              <w:adjustRightInd w:val="0"/>
              <w:spacing w:after="0"/>
              <w:rPr>
                <w:rFonts w:ascii="Times New Roman" w:hAnsi="Times New Roman"/>
                <w:bCs/>
                <w:sz w:val="24"/>
                <w:szCs w:val="24"/>
              </w:rPr>
            </w:pPr>
            <w:r w:rsidRPr="00B1150C">
              <w:rPr>
                <w:rFonts w:ascii="Times New Roman" w:hAnsi="Times New Roman"/>
                <w:bCs/>
                <w:sz w:val="24"/>
                <w:szCs w:val="24"/>
              </w:rPr>
              <w:t>List of sampled insurance companies</w:t>
            </w:r>
          </w:p>
          <w:p w:rsidR="00436570" w:rsidRPr="00B1150C" w:rsidRDefault="00436570" w:rsidP="00FD4479">
            <w:pPr>
              <w:spacing w:after="0" w:line="240" w:lineRule="auto"/>
              <w:jc w:val="center"/>
              <w:rPr>
                <w:rFonts w:ascii="Times New Roman" w:eastAsia="Times New Roman" w:hAnsi="Times New Roman"/>
                <w:b/>
                <w:color w:val="000000"/>
                <w:sz w:val="20"/>
                <w:szCs w:val="20"/>
                <w:lang w:eastAsia="en-GB"/>
              </w:rPr>
            </w:pPr>
            <w:bookmarkStart w:id="0" w:name="_GoBack"/>
            <w:bookmarkEnd w:id="0"/>
          </w:p>
        </w:tc>
      </w:tr>
      <w:tr w:rsidR="00436570" w:rsidRPr="00BA3D16" w:rsidTr="00436570">
        <w:trPr>
          <w:trHeight w:val="30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AIICO</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CONSOLIDATED HALL MARK</w:t>
            </w:r>
          </w:p>
        </w:tc>
      </w:tr>
      <w:tr w:rsidR="00436570" w:rsidRPr="00BA3D16" w:rsidTr="00436570">
        <w:trPr>
          <w:trHeight w:val="30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CORNERSTONE</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EQUITY ASSURANCE</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GUINEA</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LASACO ASSURANCE PLC</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LAW UNION AND ROCK PLC</w:t>
            </w:r>
          </w:p>
        </w:tc>
      </w:tr>
      <w:tr w:rsidR="00436570" w:rsidRPr="00BA3D16" w:rsidTr="00436570">
        <w:trPr>
          <w:trHeight w:val="30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LEADWAY</w:t>
            </w:r>
          </w:p>
        </w:tc>
      </w:tr>
      <w:tr w:rsidR="00436570" w:rsidRPr="00BA3D16" w:rsidTr="00436570">
        <w:trPr>
          <w:trHeight w:val="30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MANSARD</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NEM INSURANCE PLC</w:t>
            </w:r>
          </w:p>
        </w:tc>
      </w:tr>
      <w:tr w:rsidR="00436570" w:rsidRPr="00BA3D16" w:rsidTr="00436570">
        <w:trPr>
          <w:trHeight w:val="30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NIGER INSURANCE</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OASIS</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ROYAL EXCHANGE</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SOVEREIGN TRUST INSURANCE PLC</w:t>
            </w:r>
          </w:p>
        </w:tc>
      </w:tr>
      <w:tr w:rsidR="00436570" w:rsidRPr="00BA3D16" w:rsidTr="00436570">
        <w:trPr>
          <w:trHeight w:val="30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STACO</w:t>
            </w:r>
          </w:p>
        </w:tc>
      </w:tr>
      <w:tr w:rsidR="00436570" w:rsidRPr="00BA3D16" w:rsidTr="00436570">
        <w:trPr>
          <w:trHeight w:val="300"/>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570" w:rsidRPr="00B1150C" w:rsidRDefault="00436570" w:rsidP="00FD4479">
            <w:pPr>
              <w:spacing w:after="0" w:line="240" w:lineRule="auto"/>
              <w:rPr>
                <w:rFonts w:ascii="Times New Roman" w:eastAsia="Times New Roman" w:hAnsi="Times New Roman"/>
                <w:color w:val="000000"/>
                <w:sz w:val="20"/>
                <w:szCs w:val="20"/>
                <w:lang w:eastAsia="en-GB"/>
              </w:rPr>
            </w:pPr>
            <w:r w:rsidRPr="00B1150C">
              <w:rPr>
                <w:rFonts w:ascii="Times New Roman" w:eastAsia="Times New Roman" w:hAnsi="Times New Roman"/>
                <w:color w:val="000000"/>
                <w:sz w:val="20"/>
                <w:szCs w:val="20"/>
                <w:lang w:eastAsia="en-GB"/>
              </w:rPr>
              <w:t>UNION ASSURANCE</w:t>
            </w:r>
          </w:p>
        </w:tc>
      </w:tr>
    </w:tbl>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p>
    <w:p w:rsidR="00436570" w:rsidRDefault="00436570" w:rsidP="00436570">
      <w:pPr>
        <w:autoSpaceDE w:val="0"/>
        <w:autoSpaceDN w:val="0"/>
        <w:adjustRightInd w:val="0"/>
        <w:spacing w:after="0" w:line="240" w:lineRule="auto"/>
        <w:rPr>
          <w:rFonts w:ascii="Times New Roman" w:hAnsi="Times New Roman"/>
          <w:bCs/>
          <w:i/>
          <w:sz w:val="24"/>
          <w:szCs w:val="24"/>
          <w:lang w:val="en-GB" w:eastAsia="en-GB"/>
        </w:rPr>
      </w:pPr>
      <w:r>
        <w:rPr>
          <w:rFonts w:ascii="Times New Roman" w:hAnsi="Times New Roman"/>
          <w:b/>
          <w:sz w:val="24"/>
          <w:szCs w:val="24"/>
        </w:rPr>
        <w:lastRenderedPageBreak/>
        <w:t>DESCRIPTIVE STATISTICS</w:t>
      </w:r>
    </w:p>
    <w:p w:rsidR="00436570" w:rsidRPr="00BA3D16" w:rsidRDefault="00436570" w:rsidP="00436570">
      <w:pPr>
        <w:autoSpaceDE w:val="0"/>
        <w:autoSpaceDN w:val="0"/>
        <w:adjustRightInd w:val="0"/>
        <w:spacing w:after="0" w:line="240" w:lineRule="auto"/>
        <w:rPr>
          <w:rFonts w:ascii="Times New Roman" w:hAnsi="Times New Roman"/>
          <w:bCs/>
          <w:i/>
          <w:sz w:val="24"/>
          <w:szCs w:val="24"/>
          <w:lang w:val="en-GB" w:eastAsia="en-GB"/>
        </w:rPr>
      </w:pPr>
      <w:r>
        <w:rPr>
          <w:rFonts w:ascii="Times New Roman" w:hAnsi="Times New Roman"/>
          <w:bCs/>
          <w:i/>
          <w:sz w:val="24"/>
          <w:szCs w:val="24"/>
          <w:lang w:val="en-GB" w:eastAsia="en-GB"/>
        </w:rPr>
        <w:t>Table 1</w:t>
      </w:r>
    </w:p>
    <w:p w:rsidR="00436570" w:rsidRPr="00BA3D16" w:rsidRDefault="00436570" w:rsidP="00436570">
      <w:pPr>
        <w:autoSpaceDE w:val="0"/>
        <w:autoSpaceDN w:val="0"/>
        <w:adjustRightInd w:val="0"/>
        <w:spacing w:after="0" w:line="240" w:lineRule="auto"/>
        <w:rPr>
          <w:rFonts w:ascii="Times New Roman" w:hAnsi="Times New Roman"/>
          <w:bCs/>
          <w:i/>
          <w:sz w:val="24"/>
          <w:szCs w:val="24"/>
          <w:lang w:val="en-GB" w:eastAsia="en-GB"/>
        </w:rPr>
      </w:pPr>
      <w:r w:rsidRPr="00BA3D16">
        <w:rPr>
          <w:rFonts w:ascii="Times New Roman" w:hAnsi="Times New Roman"/>
          <w:bCs/>
          <w:i/>
          <w:sz w:val="24"/>
          <w:szCs w:val="24"/>
          <w:lang w:val="en-GB" w:eastAsia="en-GB"/>
        </w:rPr>
        <w:t>Descriptive statistics for mean values of ratio of ceded reinsurance, ratio of reinsurance recoverable to policyholders’ surplus, loss ratio and premium</w:t>
      </w:r>
      <w:r w:rsidRPr="00BA3D16">
        <w:rPr>
          <w:rFonts w:ascii="Times New Roman" w:eastAsia="Times New Roman" w:hAnsi="Times New Roman"/>
          <w:color w:val="000000"/>
          <w:sz w:val="24"/>
          <w:szCs w:val="24"/>
          <w:lang w:eastAsia="en-GB"/>
        </w:rPr>
        <w:t xml:space="preserve"> </w:t>
      </w:r>
      <w:r w:rsidRPr="005E7897">
        <w:rPr>
          <w:rFonts w:ascii="Times New Roman" w:eastAsia="Times New Roman" w:hAnsi="Times New Roman"/>
          <w:i/>
          <w:color w:val="000000"/>
          <w:sz w:val="24"/>
          <w:szCs w:val="24"/>
          <w:lang w:eastAsia="en-GB"/>
        </w:rPr>
        <w:t>growth rat</w:t>
      </w:r>
      <w:r>
        <w:rPr>
          <w:rFonts w:ascii="Times New Roman" w:eastAsia="Times New Roman" w:hAnsi="Times New Roman"/>
          <w:i/>
          <w:color w:val="000000"/>
          <w:sz w:val="24"/>
          <w:szCs w:val="24"/>
          <w:lang w:eastAsia="en-GB"/>
        </w:rPr>
        <w:t>e for ten years</w:t>
      </w:r>
      <w:r w:rsidRPr="00BA3D16">
        <w:rPr>
          <w:rFonts w:ascii="Times New Roman" w:eastAsia="Times New Roman" w:hAnsi="Times New Roman"/>
          <w:color w:val="000000"/>
          <w:sz w:val="24"/>
          <w:szCs w:val="24"/>
          <w:lang w:eastAsia="en-GB"/>
        </w:rPr>
        <w:t>.</w:t>
      </w:r>
    </w:p>
    <w:tbl>
      <w:tblPr>
        <w:tblW w:w="8529" w:type="dxa"/>
        <w:tblInd w:w="84" w:type="dxa"/>
        <w:tblLook w:val="04A0" w:firstRow="1" w:lastRow="0" w:firstColumn="1" w:lastColumn="0" w:noHBand="0" w:noVBand="1"/>
      </w:tblPr>
      <w:tblGrid>
        <w:gridCol w:w="3285"/>
        <w:gridCol w:w="1275"/>
        <w:gridCol w:w="1134"/>
        <w:gridCol w:w="1134"/>
        <w:gridCol w:w="1701"/>
      </w:tblGrid>
      <w:tr w:rsidR="00436570" w:rsidRPr="00BA3D16" w:rsidTr="00FD4479">
        <w:trPr>
          <w:trHeight w:val="1050"/>
        </w:trPr>
        <w:tc>
          <w:tcPr>
            <w:tcW w:w="32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jc w:val="center"/>
              <w:rPr>
                <w:rFonts w:ascii="Times New Roman" w:eastAsia="Times New Roman" w:hAnsi="Times New Roman"/>
                <w:b/>
                <w:bCs/>
                <w:color w:val="000000"/>
                <w:sz w:val="20"/>
                <w:szCs w:val="20"/>
                <w:lang w:val="en-GB" w:eastAsia="en-GB"/>
              </w:rPr>
            </w:pPr>
            <w:r w:rsidRPr="00BA3D16">
              <w:rPr>
                <w:rFonts w:ascii="Times New Roman" w:eastAsia="Times New Roman" w:hAnsi="Times New Roman"/>
                <w:b/>
                <w:bCs/>
                <w:color w:val="000000"/>
                <w:sz w:val="20"/>
                <w:szCs w:val="20"/>
                <w:lang w:eastAsia="en-GB"/>
              </w:rPr>
              <w:t>INSURANCE COMPANIES  </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jc w:val="center"/>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RCR</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RRPHS</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jc w:val="center"/>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LR</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jc w:val="center"/>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 xml:space="preserve">PGR </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AIICO</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0.14947</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0.0629754</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0.181037</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0.43433</w:t>
            </w:r>
          </w:p>
        </w:tc>
      </w:tr>
      <w:tr w:rsidR="00436570" w:rsidRPr="00BA3D16" w:rsidTr="00FD4479">
        <w:trPr>
          <w:trHeight w:val="540"/>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CONSOLIDATED HALL MARK</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0.098105</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0.017292</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0.137312</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0.485381</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CORNERSTONE</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0.508982</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0.3144816</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0.252278</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51.63527</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EQUITY ASSURANCE</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0.06544</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0.0211488</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0.744367</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0.563954</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GUINEA</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0.005519</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0.0193049</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0.118344</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0.487648</w:t>
            </w:r>
          </w:p>
        </w:tc>
      </w:tr>
      <w:tr w:rsidR="00436570" w:rsidRPr="00BA3D16" w:rsidTr="00FD4479">
        <w:trPr>
          <w:trHeight w:val="540"/>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LASACO ASSURANCE PLC</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0.386503</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0.083489</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0.292223</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1.921024</w:t>
            </w:r>
          </w:p>
        </w:tc>
      </w:tr>
      <w:tr w:rsidR="00436570" w:rsidRPr="00BA3D16" w:rsidTr="00FD4479">
        <w:trPr>
          <w:trHeight w:val="540"/>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LAW UNION AND ROCK PLC</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0.234644</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0.0946953</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0.244185</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0.233445</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LEADWAY</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0.535225</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0.0463579</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0.793177</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1.599655</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MANSARD</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0.105612</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0.0787508</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0.149199</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0.485067</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NEM INSURANCE PLC</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0.061935</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0.0327739</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0.201145</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0.427791</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NIGER INSURANCE</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0.058437</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0.0100748</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0.152222</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0.329587</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OASIS</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0.036131</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0.0244825</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0.155647</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0.180001</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ROYAL EXCHANGE</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0.127435</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0.089328</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0.453537</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0.22927</w:t>
            </w:r>
          </w:p>
        </w:tc>
      </w:tr>
      <w:tr w:rsidR="00436570" w:rsidRPr="00BA3D16" w:rsidTr="00FD4479">
        <w:trPr>
          <w:trHeight w:val="540"/>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SOVEREIGN TRUST INSURANCE PLC</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0.333765</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0.001</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0.210622</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0.293383</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STACO</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0.150106</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4.1915571</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0.908735</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4.363713</w:t>
            </w:r>
          </w:p>
        </w:tc>
      </w:tr>
      <w:tr w:rsidR="00436570" w:rsidRPr="00BA3D16" w:rsidTr="00FD4479">
        <w:trPr>
          <w:trHeight w:val="315"/>
        </w:trPr>
        <w:tc>
          <w:tcPr>
            <w:tcW w:w="3285" w:type="dxa"/>
            <w:tcBorders>
              <w:top w:val="nil"/>
              <w:left w:val="single" w:sz="8" w:space="0" w:color="auto"/>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UNION ASSURANCE</w:t>
            </w:r>
          </w:p>
        </w:tc>
        <w:tc>
          <w:tcPr>
            <w:tcW w:w="1275"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0.227034</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0.0521633</w:t>
            </w:r>
          </w:p>
        </w:tc>
        <w:tc>
          <w:tcPr>
            <w:tcW w:w="1134"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0.228971</w:t>
            </w:r>
          </w:p>
        </w:tc>
        <w:tc>
          <w:tcPr>
            <w:tcW w:w="1701" w:type="dxa"/>
            <w:tcBorders>
              <w:top w:val="nil"/>
              <w:left w:val="nil"/>
              <w:bottom w:val="single" w:sz="8" w:space="0" w:color="auto"/>
              <w:right w:val="single" w:sz="8" w:space="0" w:color="auto"/>
            </w:tcBorders>
            <w:shd w:val="clear" w:color="auto" w:fill="auto"/>
            <w:vAlign w:val="bottom"/>
            <w:hideMark/>
          </w:tcPr>
          <w:p w:rsidR="00436570" w:rsidRPr="00BA3D16" w:rsidRDefault="00436570" w:rsidP="00FD4479">
            <w:pPr>
              <w:spacing w:after="0" w:line="240" w:lineRule="auto"/>
              <w:rPr>
                <w:rFonts w:ascii="Times New Roman" w:eastAsia="Times New Roman" w:hAnsi="Times New Roman"/>
                <w:color w:val="000000"/>
                <w:sz w:val="20"/>
                <w:szCs w:val="20"/>
                <w:lang w:val="en-GB" w:eastAsia="en-GB"/>
              </w:rPr>
            </w:pPr>
            <w:r w:rsidRPr="00BA3D16">
              <w:rPr>
                <w:rFonts w:ascii="Times New Roman" w:eastAsia="Times New Roman" w:hAnsi="Times New Roman"/>
                <w:color w:val="000000"/>
                <w:sz w:val="20"/>
                <w:szCs w:val="20"/>
                <w:lang w:eastAsia="en-GB"/>
              </w:rPr>
              <w:t>0.184909</w:t>
            </w:r>
          </w:p>
        </w:tc>
      </w:tr>
    </w:tbl>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bCs/>
          <w:i/>
          <w:sz w:val="20"/>
          <w:szCs w:val="20"/>
        </w:rPr>
        <w:t xml:space="preserve">Source: </w:t>
      </w:r>
      <w:r>
        <w:rPr>
          <w:rFonts w:ascii="Times New Roman" w:hAnsi="Times New Roman"/>
          <w:bCs/>
          <w:i/>
          <w:sz w:val="20"/>
          <w:szCs w:val="20"/>
        </w:rPr>
        <w:t>financial reports of non-life insurance firms, 2004-2013.</w:t>
      </w: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Pr="00BA3D16" w:rsidRDefault="00436570" w:rsidP="00436570">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4.1 </w:t>
      </w:r>
      <w:r w:rsidRPr="00BA3D16">
        <w:rPr>
          <w:rFonts w:ascii="Times New Roman" w:hAnsi="Times New Roman"/>
          <w:b/>
          <w:sz w:val="24"/>
          <w:szCs w:val="24"/>
        </w:rPr>
        <w:t>DESCRIPTIVE STATISTICS FOR THE PERIOD OF TEN YEARS FROM 2004 TO 2013</w:t>
      </w:r>
    </w:p>
    <w:p w:rsidR="00436570" w:rsidRPr="00BA3D16" w:rsidRDefault="00436570" w:rsidP="00436570">
      <w:pPr>
        <w:numPr>
          <w:ilvl w:val="0"/>
          <w:numId w:val="1"/>
        </w:numPr>
        <w:autoSpaceDE w:val="0"/>
        <w:autoSpaceDN w:val="0"/>
        <w:adjustRightInd w:val="0"/>
        <w:spacing w:after="0" w:line="360" w:lineRule="auto"/>
        <w:rPr>
          <w:rFonts w:ascii="Times New Roman" w:hAnsi="Times New Roman"/>
          <w:bCs/>
          <w:i/>
          <w:sz w:val="24"/>
          <w:szCs w:val="24"/>
        </w:rPr>
      </w:pPr>
      <w:r>
        <w:rPr>
          <w:rFonts w:ascii="Times New Roman" w:hAnsi="Times New Roman"/>
          <w:bCs/>
          <w:i/>
          <w:sz w:val="24"/>
          <w:szCs w:val="24"/>
        </w:rPr>
        <w:t>Table 2</w:t>
      </w:r>
      <w:r w:rsidRPr="00BA3D16">
        <w:rPr>
          <w:rFonts w:ascii="Times New Roman" w:hAnsi="Times New Roman"/>
          <w:bCs/>
          <w:i/>
          <w:sz w:val="24"/>
          <w:szCs w:val="24"/>
        </w:rPr>
        <w:t xml:space="preserve">: Descriptive statistics for RCR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117"/>
        <w:gridCol w:w="1409"/>
        <w:gridCol w:w="1385"/>
        <w:gridCol w:w="1116"/>
        <w:gridCol w:w="1116"/>
      </w:tblGrid>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b/>
                <w:color w:val="000000"/>
                <w:sz w:val="20"/>
                <w:szCs w:val="20"/>
                <w:lang w:eastAsia="en-GB"/>
              </w:rPr>
              <w:t>INSURANCE COMPANIES  </w:t>
            </w:r>
          </w:p>
        </w:tc>
        <w:tc>
          <w:tcPr>
            <w:tcW w:w="1050" w:type="dxa"/>
            <w:shd w:val="clear" w:color="auto" w:fill="auto"/>
            <w:noWrap/>
            <w:vAlign w:val="bottom"/>
            <w:hideMark/>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NO. OF YEARS</w:t>
            </w:r>
          </w:p>
        </w:tc>
        <w:tc>
          <w:tcPr>
            <w:tcW w:w="1409" w:type="dxa"/>
            <w:shd w:val="clear" w:color="auto" w:fill="auto"/>
            <w:noWrap/>
            <w:vAlign w:val="bottom"/>
            <w:hideMark/>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MEAN</w:t>
            </w:r>
          </w:p>
        </w:tc>
        <w:tc>
          <w:tcPr>
            <w:tcW w:w="1385" w:type="dxa"/>
            <w:shd w:val="clear" w:color="auto" w:fill="auto"/>
            <w:noWrap/>
            <w:vAlign w:val="bottom"/>
            <w:hideMark/>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S.D</w:t>
            </w:r>
          </w:p>
        </w:tc>
        <w:tc>
          <w:tcPr>
            <w:tcW w:w="1116" w:type="dxa"/>
            <w:shd w:val="clear" w:color="auto" w:fill="auto"/>
            <w:noWrap/>
            <w:vAlign w:val="bottom"/>
            <w:hideMark/>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MIN</w:t>
            </w:r>
          </w:p>
        </w:tc>
        <w:tc>
          <w:tcPr>
            <w:tcW w:w="1116" w:type="dxa"/>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MAX</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AIICO</w:t>
            </w:r>
          </w:p>
        </w:tc>
        <w:tc>
          <w:tcPr>
            <w:tcW w:w="1050" w:type="dxa"/>
            <w:shd w:val="clear" w:color="auto" w:fill="auto"/>
            <w:noWrap/>
            <w:vAlign w:val="bottom"/>
            <w:hideMark/>
          </w:tcPr>
          <w:p w:rsidR="00436570" w:rsidRPr="00BA3D16" w:rsidRDefault="00436570" w:rsidP="00FD4479">
            <w:pPr>
              <w:spacing w:after="0" w:line="240" w:lineRule="auto"/>
              <w:ind w:left="57" w:right="57"/>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0.14947</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0.060582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0.072425</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0.224579</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CONSOLIDATED HALL MARK</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0.098105</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0.08599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0.009847</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0.258159</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CORNERSTONE</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0.508982</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0.741312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0.041195</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2.502032</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EQUITY ASSURANCE</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0.06544</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0.046384</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0.004177</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0.147557</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GUINEA</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0.005519</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0.00616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0.000143</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0.021073</w:t>
            </w:r>
          </w:p>
        </w:tc>
      </w:tr>
      <w:tr w:rsidR="00436570" w:rsidRPr="00BA3D16" w:rsidTr="00FD4479">
        <w:trPr>
          <w:trHeight w:val="665"/>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LASACO ASSURANCE PLC</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0.386503</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0.46539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0.117447</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1.69131</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LAW UNION AND ROCK PLC</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0.234644</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0.079957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0.109015</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0.361013</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LEADWAY</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0.535225</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0.391166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0.15194</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1.565769</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MANSARD</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0.105612</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0.071448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0.024356</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0.232819</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NEM INSURANCE PLC</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0.061935</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0.040016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0.01002</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0.142257</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NIGER INSURANCE</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0.058437</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0.057361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0.003705</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0.18071</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OASIS</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0.036131</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0.020853</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0.005427</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0.080674</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ROYAL EXCHANGE</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0.127435</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0.072948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0.038395</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0.25158</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SOVEREIGN TRUST INSURANCE PLC</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0.333765</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0.182208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0.117363</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0.650728</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STACO</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0.150106</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0.198064</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0.008061</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0.700811</w:t>
            </w:r>
          </w:p>
        </w:tc>
      </w:tr>
      <w:tr w:rsidR="00436570" w:rsidRPr="00BA3D16" w:rsidTr="00FD4479">
        <w:trPr>
          <w:trHeight w:val="300"/>
          <w:jc w:val="center"/>
        </w:trPr>
        <w:tc>
          <w:tcPr>
            <w:tcW w:w="2995" w:type="dxa"/>
            <w:shd w:val="clear" w:color="auto" w:fill="auto"/>
            <w:noWrap/>
            <w:vAlign w:val="bottom"/>
            <w:hideMark/>
          </w:tcPr>
          <w:p w:rsidR="00436570" w:rsidRPr="00BA3D16" w:rsidRDefault="00436570" w:rsidP="00FD4479">
            <w:pPr>
              <w:spacing w:after="0" w:line="240" w:lineRule="auto"/>
              <w:ind w:left="57" w:right="57"/>
              <w:jc w:val="both"/>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UNION ASSURANCE</w:t>
            </w:r>
          </w:p>
        </w:tc>
        <w:tc>
          <w:tcPr>
            <w:tcW w:w="1050" w:type="dxa"/>
            <w:shd w:val="clear" w:color="auto" w:fill="auto"/>
            <w:noWrap/>
            <w:hideMark/>
          </w:tcPr>
          <w:p w:rsidR="00436570" w:rsidRPr="00BA3D16" w:rsidRDefault="00436570" w:rsidP="00FD4479">
            <w:pPr>
              <w:spacing w:after="0" w:line="240" w:lineRule="auto"/>
              <w:ind w:left="57" w:right="57"/>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0.227034</w:t>
            </w:r>
          </w:p>
        </w:tc>
        <w:tc>
          <w:tcPr>
            <w:tcW w:w="1385" w:type="dxa"/>
            <w:shd w:val="clear" w:color="auto" w:fill="auto"/>
            <w:noWrap/>
            <w:vAlign w:val="bottom"/>
            <w:hideMark/>
          </w:tcPr>
          <w:p w:rsidR="00436570" w:rsidRPr="00BA3D16" w:rsidRDefault="00436570" w:rsidP="00FD4479">
            <w:pPr>
              <w:spacing w:after="0" w:line="240" w:lineRule="auto"/>
              <w:ind w:left="57" w:right="57"/>
              <w:jc w:val="right"/>
              <w:rPr>
                <w:rFonts w:ascii="Times New Roman" w:hAnsi="Times New Roman"/>
                <w:color w:val="000000"/>
                <w:sz w:val="24"/>
                <w:szCs w:val="24"/>
              </w:rPr>
            </w:pPr>
            <w:r w:rsidRPr="00BA3D16">
              <w:rPr>
                <w:rFonts w:ascii="Times New Roman" w:hAnsi="Times New Roman"/>
                <w:color w:val="000000"/>
                <w:sz w:val="24"/>
                <w:szCs w:val="24"/>
              </w:rPr>
              <w:t>0.071451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0.109566</w:t>
            </w:r>
          </w:p>
        </w:tc>
        <w:tc>
          <w:tcPr>
            <w:tcW w:w="1116"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0.381246</w:t>
            </w:r>
          </w:p>
        </w:tc>
      </w:tr>
    </w:tbl>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bCs/>
          <w:i/>
          <w:sz w:val="20"/>
          <w:szCs w:val="20"/>
        </w:rPr>
        <w:t xml:space="preserve">Source: </w:t>
      </w:r>
      <w:r>
        <w:rPr>
          <w:rFonts w:ascii="Times New Roman" w:hAnsi="Times New Roman"/>
          <w:bCs/>
          <w:i/>
          <w:sz w:val="20"/>
          <w:szCs w:val="20"/>
        </w:rPr>
        <w:t>financial reports of non-life insurance firms, 2004-2013.</w:t>
      </w: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Pr="00BA3D16" w:rsidRDefault="00436570" w:rsidP="00436570">
      <w:pPr>
        <w:autoSpaceDE w:val="0"/>
        <w:autoSpaceDN w:val="0"/>
        <w:adjustRightInd w:val="0"/>
        <w:spacing w:after="0" w:line="360" w:lineRule="auto"/>
        <w:rPr>
          <w:rFonts w:ascii="Times New Roman" w:hAnsi="Times New Roman"/>
          <w:noProof/>
          <w:sz w:val="24"/>
          <w:szCs w:val="24"/>
          <w:lang w:val="en-GB" w:eastAsia="en-GB"/>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noProof/>
          <w:sz w:val="24"/>
          <w:szCs w:val="24"/>
        </w:rPr>
        <w:lastRenderedPageBreak/>
        <w:drawing>
          <wp:inline distT="0" distB="0" distL="0" distR="0" wp14:anchorId="3D757AA9" wp14:editId="5EEF76C4">
            <wp:extent cx="5848350" cy="2743200"/>
            <wp:effectExtent l="19050" t="0" r="0" b="0"/>
            <wp:docPr id="1" name="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0"/>
                    <pic:cNvPicPr>
                      <a:picLocks noChangeAspect="1" noChangeArrowheads="1"/>
                    </pic:cNvPicPr>
                  </pic:nvPicPr>
                  <pic:blipFill>
                    <a:blip r:embed="rId6" cstate="print"/>
                    <a:srcRect/>
                    <a:stretch>
                      <a:fillRect/>
                    </a:stretch>
                  </pic:blipFill>
                  <pic:spPr bwMode="auto">
                    <a:xfrm>
                      <a:off x="0" y="0"/>
                      <a:ext cx="5848350" cy="2743200"/>
                    </a:xfrm>
                    <a:prstGeom prst="rect">
                      <a:avLst/>
                    </a:prstGeom>
                    <a:noFill/>
                    <a:ln w="9525">
                      <a:noFill/>
                      <a:miter lim="800000"/>
                      <a:headEnd/>
                      <a:tailEnd/>
                    </a:ln>
                  </pic:spPr>
                </pic:pic>
              </a:graphicData>
            </a:graphic>
          </wp:inline>
        </w:drawing>
      </w:r>
    </w:p>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sz w:val="24"/>
          <w:szCs w:val="24"/>
        </w:rPr>
        <w:t>Fig. 1 Line chart of RCR</w:t>
      </w:r>
    </w:p>
    <w:p w:rsidR="00436570" w:rsidRPr="00BA3D16" w:rsidRDefault="00436570" w:rsidP="00436570">
      <w:pPr>
        <w:autoSpaceDE w:val="0"/>
        <w:autoSpaceDN w:val="0"/>
        <w:adjustRightInd w:val="0"/>
        <w:spacing w:after="0" w:line="360" w:lineRule="auto"/>
        <w:jc w:val="both"/>
        <w:rPr>
          <w:rFonts w:ascii="Times New Roman" w:hAnsi="Times New Roman"/>
          <w:color w:val="000000"/>
          <w:sz w:val="24"/>
          <w:szCs w:val="24"/>
        </w:rPr>
      </w:pPr>
      <w:r w:rsidRPr="00BA3D16">
        <w:rPr>
          <w:rFonts w:ascii="Times New Roman" w:hAnsi="Times New Roman"/>
          <w:sz w:val="24"/>
          <w:szCs w:val="24"/>
        </w:rPr>
        <w:t xml:space="preserve">The table 3 and figure 1 above show the results for </w:t>
      </w:r>
      <w:r w:rsidRPr="00BA3D16">
        <w:rPr>
          <w:rFonts w:ascii="Times New Roman" w:hAnsi="Times New Roman"/>
          <w:i/>
          <w:iCs/>
          <w:sz w:val="24"/>
          <w:szCs w:val="24"/>
        </w:rPr>
        <w:t xml:space="preserve">RCR. </w:t>
      </w:r>
      <w:r w:rsidRPr="00BA3D16">
        <w:rPr>
          <w:rFonts w:ascii="Times New Roman" w:hAnsi="Times New Roman"/>
          <w:iCs/>
          <w:sz w:val="24"/>
          <w:szCs w:val="24"/>
        </w:rPr>
        <w:t>This provides</w:t>
      </w:r>
      <w:r w:rsidRPr="00BA3D16">
        <w:rPr>
          <w:rFonts w:ascii="Times New Roman" w:hAnsi="Times New Roman"/>
          <w:sz w:val="24"/>
          <w:szCs w:val="24"/>
        </w:rPr>
        <w:t xml:space="preserve"> information about the extent of reinsurance utilization by insurers for the ten years under study. The result indicates that </w:t>
      </w:r>
      <w:proofErr w:type="spellStart"/>
      <w:r w:rsidRPr="00BA3D16">
        <w:rPr>
          <w:rFonts w:ascii="Times New Roman" w:eastAsia="Times New Roman" w:hAnsi="Times New Roman"/>
          <w:color w:val="000000"/>
          <w:sz w:val="24"/>
          <w:szCs w:val="24"/>
          <w:lang w:eastAsia="en-GB"/>
        </w:rPr>
        <w:t>Leadway</w:t>
      </w:r>
      <w:proofErr w:type="spellEnd"/>
      <w:r w:rsidRPr="00BA3D16">
        <w:rPr>
          <w:rFonts w:ascii="Times New Roman" w:eastAsia="Times New Roman" w:hAnsi="Times New Roman"/>
          <w:color w:val="000000"/>
          <w:sz w:val="24"/>
          <w:szCs w:val="24"/>
          <w:lang w:eastAsia="en-GB"/>
        </w:rPr>
        <w:t xml:space="preserve"> assurance</w:t>
      </w:r>
      <w:r w:rsidRPr="00BA3D16">
        <w:rPr>
          <w:rFonts w:ascii="Times New Roman" w:hAnsi="Times New Roman"/>
          <w:sz w:val="24"/>
          <w:szCs w:val="24"/>
        </w:rPr>
        <w:t xml:space="preserve"> mostly transfers risk to reinsurers with an average of 53.5%. This is followed by Cornerstone insurance and </w:t>
      </w:r>
      <w:proofErr w:type="spellStart"/>
      <w:r w:rsidRPr="00BA3D16">
        <w:rPr>
          <w:rFonts w:ascii="Times New Roman" w:hAnsi="Times New Roman"/>
          <w:sz w:val="24"/>
          <w:szCs w:val="24"/>
        </w:rPr>
        <w:t>Lasaco</w:t>
      </w:r>
      <w:proofErr w:type="spellEnd"/>
      <w:r w:rsidRPr="00BA3D16">
        <w:rPr>
          <w:rFonts w:ascii="Times New Roman" w:hAnsi="Times New Roman"/>
          <w:sz w:val="24"/>
          <w:szCs w:val="24"/>
        </w:rPr>
        <w:t xml:space="preserve"> assurance with average of 50.8% and 38.6% respectively.</w:t>
      </w:r>
      <w:r w:rsidRPr="00BA3D16">
        <w:rPr>
          <w:rFonts w:ascii="Times New Roman" w:hAnsi="Times New Roman"/>
          <w:color w:val="000000"/>
          <w:sz w:val="24"/>
          <w:szCs w:val="24"/>
        </w:rPr>
        <w:t xml:space="preserve"> Guinea insurance cedes the least risk to reinsurers with an average</w:t>
      </w:r>
      <w:r w:rsidRPr="00BA3D16">
        <w:rPr>
          <w:rFonts w:ascii="Times New Roman" w:hAnsi="Times New Roman"/>
          <w:sz w:val="24"/>
          <w:szCs w:val="24"/>
        </w:rPr>
        <w:t xml:space="preserve"> value of 0.55%. Furthermore, the table shows that Cornerstone Insurance has the highest SD of </w:t>
      </w:r>
      <w:r w:rsidRPr="00BA3D16">
        <w:rPr>
          <w:rFonts w:ascii="Times New Roman" w:hAnsi="Times New Roman"/>
          <w:iCs/>
          <w:sz w:val="24"/>
          <w:szCs w:val="24"/>
        </w:rPr>
        <w:t xml:space="preserve">RCR at </w:t>
      </w:r>
      <w:r w:rsidRPr="00BA3D16">
        <w:rPr>
          <w:rFonts w:ascii="Times New Roman" w:hAnsi="Times New Roman"/>
          <w:sz w:val="24"/>
          <w:szCs w:val="24"/>
        </w:rPr>
        <w:t>0.74</w:t>
      </w:r>
      <w:r w:rsidRPr="00BA3D16">
        <w:rPr>
          <w:rFonts w:ascii="Times New Roman" w:hAnsi="Times New Roman"/>
          <w:iCs/>
          <w:sz w:val="24"/>
          <w:szCs w:val="24"/>
        </w:rPr>
        <w:t xml:space="preserve">. This is followed by </w:t>
      </w:r>
      <w:proofErr w:type="spellStart"/>
      <w:r w:rsidRPr="00BA3D16">
        <w:rPr>
          <w:rFonts w:ascii="Times New Roman" w:hAnsi="Times New Roman"/>
          <w:sz w:val="24"/>
          <w:szCs w:val="24"/>
        </w:rPr>
        <w:t>Lasaco</w:t>
      </w:r>
      <w:proofErr w:type="spellEnd"/>
      <w:r w:rsidRPr="00BA3D16">
        <w:rPr>
          <w:rFonts w:ascii="Times New Roman" w:hAnsi="Times New Roman"/>
          <w:sz w:val="24"/>
          <w:szCs w:val="24"/>
        </w:rPr>
        <w:t xml:space="preserve"> assurance at 0.46. This result indicates an unstable pattern of reinsurance utilization. The most reliable of the data generated for RCR is from </w:t>
      </w:r>
      <w:r w:rsidRPr="00BA3D16">
        <w:rPr>
          <w:rFonts w:ascii="Times New Roman" w:hAnsi="Times New Roman"/>
          <w:color w:val="000000"/>
          <w:sz w:val="24"/>
          <w:szCs w:val="24"/>
        </w:rPr>
        <w:t>Guinea insurance whose SD is 0.006.</w:t>
      </w:r>
      <w:r w:rsidRPr="00BA3D16">
        <w:rPr>
          <w:rFonts w:ascii="Times New Roman" w:hAnsi="Times New Roman"/>
          <w:sz w:val="24"/>
          <w:szCs w:val="24"/>
        </w:rPr>
        <w:t xml:space="preserve">  </w:t>
      </w: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240" w:lineRule="auto"/>
        <w:rPr>
          <w:rFonts w:ascii="Times New Roman" w:hAnsi="Times New Roman"/>
          <w:sz w:val="24"/>
          <w:szCs w:val="24"/>
        </w:rPr>
      </w:pPr>
    </w:p>
    <w:p w:rsidR="00436570" w:rsidRPr="00BA3D16" w:rsidRDefault="00436570" w:rsidP="00436570">
      <w:pPr>
        <w:autoSpaceDE w:val="0"/>
        <w:autoSpaceDN w:val="0"/>
        <w:adjustRightInd w:val="0"/>
        <w:spacing w:after="0" w:line="240" w:lineRule="auto"/>
        <w:rPr>
          <w:rFonts w:ascii="Times New Roman" w:hAnsi="Times New Roman"/>
          <w:sz w:val="24"/>
          <w:szCs w:val="24"/>
        </w:rPr>
      </w:pPr>
    </w:p>
    <w:p w:rsidR="00436570" w:rsidRPr="00BA3D16" w:rsidRDefault="00436570" w:rsidP="00436570">
      <w:pPr>
        <w:numPr>
          <w:ilvl w:val="0"/>
          <w:numId w:val="1"/>
        </w:numPr>
        <w:autoSpaceDE w:val="0"/>
        <w:autoSpaceDN w:val="0"/>
        <w:adjustRightInd w:val="0"/>
        <w:spacing w:after="0" w:line="360" w:lineRule="auto"/>
        <w:rPr>
          <w:rFonts w:ascii="Times New Roman" w:hAnsi="Times New Roman"/>
          <w:i/>
          <w:sz w:val="24"/>
          <w:szCs w:val="24"/>
        </w:rPr>
      </w:pPr>
      <w:r>
        <w:rPr>
          <w:rFonts w:ascii="Times New Roman" w:hAnsi="Times New Roman"/>
          <w:bCs/>
          <w:i/>
          <w:sz w:val="24"/>
          <w:szCs w:val="24"/>
        </w:rPr>
        <w:lastRenderedPageBreak/>
        <w:t>Table 3</w:t>
      </w:r>
      <w:r w:rsidRPr="00BA3D16">
        <w:rPr>
          <w:rFonts w:ascii="Times New Roman" w:hAnsi="Times New Roman"/>
          <w:bCs/>
          <w:i/>
          <w:sz w:val="24"/>
          <w:szCs w:val="24"/>
        </w:rPr>
        <w:t>: Descriptive statistics for premium growth</w:t>
      </w:r>
    </w:p>
    <w:tbl>
      <w:tblPr>
        <w:tblW w:w="8716"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224"/>
        <w:gridCol w:w="1409"/>
        <w:gridCol w:w="1385"/>
        <w:gridCol w:w="1116"/>
        <w:gridCol w:w="1210"/>
      </w:tblGrid>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b/>
                <w:color w:val="000000"/>
                <w:sz w:val="20"/>
                <w:szCs w:val="20"/>
                <w:lang w:eastAsia="en-GB"/>
              </w:rPr>
              <w:t>INSURANCE COMPANIES  </w:t>
            </w:r>
          </w:p>
        </w:tc>
        <w:tc>
          <w:tcPr>
            <w:tcW w:w="1224"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NO. OF YEARS</w:t>
            </w:r>
          </w:p>
        </w:tc>
        <w:tc>
          <w:tcPr>
            <w:tcW w:w="1409"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MEAN</w:t>
            </w:r>
          </w:p>
        </w:tc>
        <w:tc>
          <w:tcPr>
            <w:tcW w:w="1385"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S.D</w:t>
            </w:r>
          </w:p>
        </w:tc>
        <w:tc>
          <w:tcPr>
            <w:tcW w:w="1116"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MIN</w:t>
            </w:r>
          </w:p>
        </w:tc>
        <w:tc>
          <w:tcPr>
            <w:tcW w:w="1210" w:type="dxa"/>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MAX</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AIICO</w:t>
            </w:r>
          </w:p>
        </w:tc>
        <w:tc>
          <w:tcPr>
            <w:tcW w:w="1224"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0.43433</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0.91472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-0.11489</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2.834381</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CONSOLIDATED HALL MARK</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0.485381</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0.76491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-0.19333</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2.250894</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CORNERSTONE</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51.63527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153.8443</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-0.99854</w:t>
            </w:r>
          </w:p>
        </w:tc>
        <w:tc>
          <w:tcPr>
            <w:tcW w:w="1210" w:type="dxa"/>
            <w:vAlign w:val="bottom"/>
          </w:tcPr>
          <w:p w:rsidR="00436570" w:rsidRPr="00BA3D16" w:rsidRDefault="00436570" w:rsidP="00FD4479">
            <w:pPr>
              <w:spacing w:after="0" w:line="240" w:lineRule="auto"/>
              <w:jc w:val="right"/>
              <w:rPr>
                <w:rFonts w:ascii="Times New Roman" w:hAnsi="Times New Roman"/>
                <w:b/>
                <w:i/>
                <w:color w:val="000000"/>
                <w:sz w:val="24"/>
                <w:szCs w:val="24"/>
              </w:rPr>
            </w:pPr>
            <w:r w:rsidRPr="00BA3D16">
              <w:rPr>
                <w:rFonts w:ascii="Times New Roman" w:hAnsi="Times New Roman"/>
                <w:b/>
                <w:i/>
                <w:color w:val="000000"/>
                <w:sz w:val="24"/>
                <w:szCs w:val="24"/>
              </w:rPr>
              <w:t>461.8809</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EQUITY ASSURANCE</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0.563954</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1.998875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-0.99888</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5.720576</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GUINEA</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0.487648</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1.597039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-0.61491</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4.682461</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LASACO ASSURANCE PLC</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1.921024</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5.143817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-0.38073</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15.62134</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LAW UNION AND ROCK PLC</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0.233445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0.336248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-0.17289</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0.883375</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LEADWAY</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1.599655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4.005457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-0.88964</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12.01693</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MANSARD</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0.485067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0.824085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-0.99741</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2.060088</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NEM INSURANCE PLC</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0.427791</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0.611946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b/>
                <w:i/>
                <w:color w:val="000000"/>
                <w:sz w:val="24"/>
                <w:szCs w:val="24"/>
              </w:rPr>
            </w:pPr>
            <w:r w:rsidRPr="00BA3D16">
              <w:rPr>
                <w:rFonts w:ascii="Times New Roman" w:hAnsi="Times New Roman"/>
                <w:b/>
                <w:i/>
                <w:color w:val="000000"/>
                <w:sz w:val="24"/>
                <w:szCs w:val="24"/>
              </w:rPr>
              <w:t>-0.10652</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1.991589</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NIGER INSURANCE</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0.329587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0.615532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-0.24512</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1.817861</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OASIS</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0.180001</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0.446135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-0.48966</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1.01479</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ROYAL EXCHANGE</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0.22927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0.115375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0.081923</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0.461464</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SOVEREIGN TRUST INSURANCE PLC</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0.293383</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0.219622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0.072286</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0.753775</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STACO</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4.363713</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6.810305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-0.97994</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15.92626</w:t>
            </w:r>
          </w:p>
        </w:tc>
      </w:tr>
      <w:tr w:rsidR="00436570" w:rsidRPr="00BA3D16" w:rsidTr="00FD4479">
        <w:trPr>
          <w:trHeight w:val="300"/>
          <w:jc w:val="center"/>
        </w:trPr>
        <w:tc>
          <w:tcPr>
            <w:tcW w:w="2372"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UNION ASSURANCE</w:t>
            </w:r>
          </w:p>
        </w:tc>
        <w:tc>
          <w:tcPr>
            <w:tcW w:w="1224"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0.184909</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0.320776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-0.37042</w:t>
            </w:r>
          </w:p>
        </w:tc>
        <w:tc>
          <w:tcPr>
            <w:tcW w:w="121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0.552477</w:t>
            </w:r>
          </w:p>
        </w:tc>
      </w:tr>
    </w:tbl>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bCs/>
          <w:i/>
          <w:sz w:val="20"/>
          <w:szCs w:val="20"/>
        </w:rPr>
        <w:t xml:space="preserve">Source: </w:t>
      </w:r>
      <w:r>
        <w:rPr>
          <w:rFonts w:ascii="Times New Roman" w:hAnsi="Times New Roman"/>
          <w:bCs/>
          <w:i/>
          <w:sz w:val="20"/>
          <w:szCs w:val="20"/>
        </w:rPr>
        <w:t>financial reports of non-life insurance firms, 2004-2013.</w:t>
      </w: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noProof/>
          <w:sz w:val="24"/>
          <w:szCs w:val="24"/>
        </w:rPr>
        <w:lastRenderedPageBreak/>
        <w:drawing>
          <wp:inline distT="0" distB="0" distL="0" distR="0" wp14:anchorId="58B19ECE" wp14:editId="31261BE7">
            <wp:extent cx="4591050" cy="2743200"/>
            <wp:effectExtent l="19050" t="0" r="0" b="0"/>
            <wp:docPr id="2" name="Cha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3"/>
                    <pic:cNvPicPr>
                      <a:picLocks noChangeAspect="1" noChangeArrowheads="1"/>
                    </pic:cNvPicPr>
                  </pic:nvPicPr>
                  <pic:blipFill>
                    <a:blip r:embed="rId7" cstate="print"/>
                    <a:srcRect/>
                    <a:stretch>
                      <a:fillRect/>
                    </a:stretch>
                  </pic:blipFill>
                  <pic:spPr bwMode="auto">
                    <a:xfrm>
                      <a:off x="0" y="0"/>
                      <a:ext cx="4591050" cy="2743200"/>
                    </a:xfrm>
                    <a:prstGeom prst="rect">
                      <a:avLst/>
                    </a:prstGeom>
                    <a:noFill/>
                    <a:ln w="9525">
                      <a:noFill/>
                      <a:miter lim="800000"/>
                      <a:headEnd/>
                      <a:tailEnd/>
                    </a:ln>
                  </pic:spPr>
                </pic:pic>
              </a:graphicData>
            </a:graphic>
          </wp:inline>
        </w:drawing>
      </w:r>
    </w:p>
    <w:p w:rsidR="00436570" w:rsidRPr="00BA3D16" w:rsidRDefault="00436570" w:rsidP="00436570">
      <w:pPr>
        <w:autoSpaceDE w:val="0"/>
        <w:autoSpaceDN w:val="0"/>
        <w:adjustRightInd w:val="0"/>
        <w:spacing w:after="0" w:line="360" w:lineRule="auto"/>
        <w:rPr>
          <w:rFonts w:ascii="Times New Roman" w:hAnsi="Times New Roman"/>
          <w:sz w:val="24"/>
          <w:szCs w:val="24"/>
        </w:rPr>
      </w:pPr>
      <w:proofErr w:type="gramStart"/>
      <w:r w:rsidRPr="00BA3D16">
        <w:rPr>
          <w:rFonts w:ascii="Times New Roman" w:hAnsi="Times New Roman"/>
          <w:bCs/>
          <w:sz w:val="24"/>
          <w:szCs w:val="24"/>
        </w:rPr>
        <w:t xml:space="preserve">Fig 2 </w:t>
      </w:r>
      <w:r w:rsidRPr="00BA3D16">
        <w:rPr>
          <w:rFonts w:ascii="Times New Roman" w:hAnsi="Times New Roman"/>
          <w:sz w:val="24"/>
          <w:szCs w:val="24"/>
        </w:rPr>
        <w:t>Line chart of premium growth rate.</w:t>
      </w:r>
      <w:proofErr w:type="gramEnd"/>
    </w:p>
    <w:p w:rsidR="00436570" w:rsidRPr="00BA3D16" w:rsidRDefault="00436570" w:rsidP="00436570">
      <w:pPr>
        <w:autoSpaceDE w:val="0"/>
        <w:autoSpaceDN w:val="0"/>
        <w:adjustRightInd w:val="0"/>
        <w:spacing w:after="0" w:line="360" w:lineRule="auto"/>
        <w:jc w:val="both"/>
        <w:rPr>
          <w:rFonts w:ascii="Times New Roman" w:hAnsi="Times New Roman"/>
          <w:sz w:val="24"/>
          <w:szCs w:val="24"/>
        </w:rPr>
      </w:pPr>
      <w:r w:rsidRPr="00BA3D16">
        <w:rPr>
          <w:rFonts w:ascii="Times New Roman" w:hAnsi="Times New Roman"/>
          <w:sz w:val="24"/>
          <w:szCs w:val="24"/>
        </w:rPr>
        <w:t xml:space="preserve">Table 4 and fig 2 portray the descriptive statistics for Premium Growth Rate (PGR) generated from the study sample for ten years. The result indicates that Cornerstone Insurance has the highest Premium Growth Rate with a mean value of 51.6%. This is followed by </w:t>
      </w:r>
      <w:proofErr w:type="spellStart"/>
      <w:r w:rsidRPr="00BA3D16">
        <w:rPr>
          <w:rFonts w:ascii="Times New Roman" w:hAnsi="Times New Roman"/>
          <w:sz w:val="24"/>
          <w:szCs w:val="24"/>
        </w:rPr>
        <w:t>Staco</w:t>
      </w:r>
      <w:proofErr w:type="spellEnd"/>
      <w:r w:rsidRPr="00BA3D16">
        <w:rPr>
          <w:rFonts w:ascii="Times New Roman" w:hAnsi="Times New Roman"/>
          <w:sz w:val="24"/>
          <w:szCs w:val="24"/>
        </w:rPr>
        <w:t xml:space="preserve"> insurance and </w:t>
      </w:r>
      <w:proofErr w:type="spellStart"/>
      <w:r w:rsidRPr="00BA3D16">
        <w:rPr>
          <w:rFonts w:ascii="Times New Roman" w:hAnsi="Times New Roman"/>
          <w:sz w:val="24"/>
          <w:szCs w:val="24"/>
        </w:rPr>
        <w:t>Lasaco</w:t>
      </w:r>
      <w:proofErr w:type="spellEnd"/>
      <w:r w:rsidRPr="00BA3D16">
        <w:rPr>
          <w:rFonts w:ascii="Times New Roman" w:hAnsi="Times New Roman"/>
          <w:sz w:val="24"/>
          <w:szCs w:val="24"/>
        </w:rPr>
        <w:t xml:space="preserve"> assurance at 4.3% and 1.9% respectively. Oasis insurance has the least mean value of PGR at 0.</w:t>
      </w:r>
      <w:r w:rsidRPr="00BA3D16">
        <w:rPr>
          <w:rFonts w:ascii="Times New Roman" w:hAnsi="Times New Roman"/>
          <w:color w:val="000000"/>
          <w:sz w:val="24"/>
          <w:szCs w:val="24"/>
        </w:rPr>
        <w:t>18%</w:t>
      </w:r>
      <w:r w:rsidRPr="00BA3D16">
        <w:rPr>
          <w:rFonts w:ascii="Times New Roman" w:hAnsi="Times New Roman"/>
          <w:i/>
          <w:color w:val="000000"/>
          <w:sz w:val="24"/>
          <w:szCs w:val="24"/>
        </w:rPr>
        <w:t xml:space="preserve">. </w:t>
      </w:r>
      <w:r w:rsidRPr="00BA3D16">
        <w:rPr>
          <w:rFonts w:ascii="Times New Roman" w:hAnsi="Times New Roman"/>
          <w:color w:val="000000"/>
          <w:sz w:val="24"/>
          <w:szCs w:val="24"/>
        </w:rPr>
        <w:t>In terms of SD</w:t>
      </w:r>
      <w:r w:rsidRPr="00BA3D16">
        <w:rPr>
          <w:rFonts w:ascii="Times New Roman" w:hAnsi="Times New Roman"/>
          <w:b/>
          <w:color w:val="000000"/>
          <w:sz w:val="24"/>
          <w:szCs w:val="24"/>
        </w:rPr>
        <w:t xml:space="preserve">, </w:t>
      </w:r>
      <w:r w:rsidRPr="00BA3D16">
        <w:rPr>
          <w:rFonts w:ascii="Times New Roman" w:hAnsi="Times New Roman"/>
          <w:color w:val="000000"/>
          <w:sz w:val="24"/>
          <w:szCs w:val="24"/>
        </w:rPr>
        <w:t xml:space="preserve">Cornerstone insurance has a less reliable data with a SD of 153.8. However, the data generated for Royal Exchange Assurance shows less disparity over the 10 year period with a SD of 0.12. </w:t>
      </w:r>
      <w:proofErr w:type="gramStart"/>
      <w:r w:rsidRPr="00BA3D16">
        <w:rPr>
          <w:rFonts w:ascii="Times New Roman" w:hAnsi="Times New Roman"/>
          <w:color w:val="000000"/>
          <w:sz w:val="24"/>
          <w:szCs w:val="24"/>
        </w:rPr>
        <w:t>An indication of reliability of PGR.</w:t>
      </w:r>
      <w:proofErr w:type="gramEnd"/>
      <w:r w:rsidRPr="00BA3D16">
        <w:rPr>
          <w:rFonts w:ascii="Times New Roman" w:hAnsi="Times New Roman"/>
          <w:color w:val="000000"/>
          <w:sz w:val="24"/>
          <w:szCs w:val="24"/>
        </w:rPr>
        <w:t xml:space="preserve"> </w:t>
      </w:r>
      <w:r w:rsidRPr="00BA3D16">
        <w:rPr>
          <w:rFonts w:ascii="Times New Roman" w:hAnsi="Times New Roman"/>
          <w:b/>
          <w:color w:val="000000"/>
          <w:sz w:val="24"/>
          <w:szCs w:val="24"/>
        </w:rPr>
        <w:t xml:space="preserve"> </w:t>
      </w:r>
      <w:r w:rsidRPr="00BA3D16">
        <w:rPr>
          <w:rFonts w:ascii="Times New Roman" w:hAnsi="Times New Roman"/>
          <w:b/>
          <w:i/>
          <w:color w:val="000000"/>
          <w:sz w:val="24"/>
          <w:szCs w:val="24"/>
        </w:rPr>
        <w:t xml:space="preserve"> </w:t>
      </w: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Default="00436570" w:rsidP="00436570">
      <w:pPr>
        <w:autoSpaceDE w:val="0"/>
        <w:autoSpaceDN w:val="0"/>
        <w:adjustRightInd w:val="0"/>
        <w:spacing w:after="0" w:line="360" w:lineRule="auto"/>
        <w:rPr>
          <w:rFonts w:ascii="Times New Roman" w:hAnsi="Times New Roman"/>
          <w:i/>
          <w:sz w:val="24"/>
          <w:szCs w:val="24"/>
        </w:rPr>
      </w:pPr>
    </w:p>
    <w:p w:rsidR="00436570" w:rsidRPr="00BA3D16" w:rsidRDefault="00436570" w:rsidP="00436570">
      <w:pPr>
        <w:autoSpaceDE w:val="0"/>
        <w:autoSpaceDN w:val="0"/>
        <w:adjustRightInd w:val="0"/>
        <w:spacing w:after="0" w:line="360" w:lineRule="auto"/>
        <w:rPr>
          <w:rFonts w:ascii="Times New Roman" w:hAnsi="Times New Roman"/>
          <w:i/>
          <w:sz w:val="24"/>
          <w:szCs w:val="24"/>
        </w:rPr>
      </w:pPr>
    </w:p>
    <w:p w:rsidR="00436570" w:rsidRPr="00BA3D16" w:rsidRDefault="00436570" w:rsidP="00436570">
      <w:pPr>
        <w:numPr>
          <w:ilvl w:val="0"/>
          <w:numId w:val="2"/>
        </w:numPr>
        <w:autoSpaceDE w:val="0"/>
        <w:autoSpaceDN w:val="0"/>
        <w:adjustRightInd w:val="0"/>
        <w:spacing w:after="0" w:line="360" w:lineRule="auto"/>
        <w:rPr>
          <w:rFonts w:ascii="Times New Roman" w:hAnsi="Times New Roman"/>
          <w:i/>
          <w:sz w:val="24"/>
          <w:szCs w:val="24"/>
        </w:rPr>
      </w:pPr>
      <w:r>
        <w:rPr>
          <w:rFonts w:ascii="Times New Roman" w:hAnsi="Times New Roman"/>
          <w:bCs/>
          <w:i/>
          <w:sz w:val="24"/>
          <w:szCs w:val="24"/>
        </w:rPr>
        <w:lastRenderedPageBreak/>
        <w:t>Table 4</w:t>
      </w:r>
      <w:r w:rsidRPr="00BA3D16">
        <w:rPr>
          <w:rFonts w:ascii="Times New Roman" w:hAnsi="Times New Roman"/>
          <w:bCs/>
          <w:i/>
          <w:sz w:val="24"/>
          <w:szCs w:val="24"/>
        </w:rPr>
        <w:t>: Descriptive statistics for RRPHS</w:t>
      </w:r>
    </w:p>
    <w:tbl>
      <w:tblPr>
        <w:tblW w:w="8716"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276"/>
        <w:gridCol w:w="1136"/>
        <w:gridCol w:w="1385"/>
        <w:gridCol w:w="1116"/>
        <w:gridCol w:w="1290"/>
      </w:tblGrid>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b/>
                <w:color w:val="000000"/>
                <w:sz w:val="20"/>
                <w:szCs w:val="20"/>
                <w:lang w:eastAsia="en-GB"/>
              </w:rPr>
              <w:t>INSURANCE COMPANIES  </w:t>
            </w:r>
          </w:p>
        </w:tc>
        <w:tc>
          <w:tcPr>
            <w:tcW w:w="1276"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NO. OF YEARS</w:t>
            </w:r>
          </w:p>
        </w:tc>
        <w:tc>
          <w:tcPr>
            <w:tcW w:w="1136"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MEAN</w:t>
            </w:r>
          </w:p>
        </w:tc>
        <w:tc>
          <w:tcPr>
            <w:tcW w:w="1385"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S.D</w:t>
            </w:r>
          </w:p>
        </w:tc>
        <w:tc>
          <w:tcPr>
            <w:tcW w:w="1116"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MIN</w:t>
            </w:r>
          </w:p>
        </w:tc>
        <w:tc>
          <w:tcPr>
            <w:tcW w:w="1290" w:type="dxa"/>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MAX</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AIICO</w:t>
            </w:r>
          </w:p>
        </w:tc>
        <w:tc>
          <w:tcPr>
            <w:tcW w:w="1276"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0.062975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0.076587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0.00939</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0.231621</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CONSOLIDATED HALL MARK</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0.017292</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0.025008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0.000354</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0.086715</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CORNERSTONE</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0.314482</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0.743298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-0.67227</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2.159618</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EQUITY ASSURANCE</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0.021149</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0.024726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0.000829</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0.068692</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GUINEA</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0.019305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0.017377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0.044469</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LASACO ASSURANCE PLC</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0.083489</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0.128751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0.011041</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0.406343</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LAW UNION AND ROCK PLC</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0.094695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0.052407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0.030125</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0.195741</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LEADWAY</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0.046358</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0.053719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0.001223</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0.190734</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MANSARD</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0.078751</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0.119956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0.001887</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0.375844</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NEM INSURANCE PLC</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0.032774</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0.022901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0.003136</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0.065084</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NIGER INSURANCE</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0.010075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0.005766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0.001392</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0.020228</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OASIS</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0.024483</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0.017786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6.86E-05</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0.053775</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ROYAL EXCHANGE</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0.089328</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0.189409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-0.36059</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0.365993</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SOVEREIGN TRUST INSURANCE PLC</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1.2</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3.7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rPr>
            </w:pPr>
            <w:r w:rsidRPr="00BA3D16">
              <w:rPr>
                <w:rFonts w:ascii="Times New Roman" w:hAnsi="Times New Roman"/>
                <w:color w:val="000000"/>
              </w:rPr>
              <w:t>0.9</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1.45234</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STACO</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b/>
                <w:i/>
                <w:color w:val="000000"/>
                <w:sz w:val="24"/>
                <w:szCs w:val="24"/>
              </w:rPr>
            </w:pPr>
            <w:r w:rsidRPr="00BA3D16">
              <w:rPr>
                <w:rFonts w:ascii="Times New Roman" w:hAnsi="Times New Roman"/>
                <w:b/>
                <w:i/>
                <w:color w:val="000000"/>
                <w:sz w:val="24"/>
                <w:szCs w:val="24"/>
              </w:rPr>
              <w:t>4.191557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13.12909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0.01073</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41.55746</w:t>
            </w:r>
          </w:p>
        </w:tc>
      </w:tr>
      <w:tr w:rsidR="00436570" w:rsidRPr="00BA3D16" w:rsidTr="00FD4479">
        <w:trPr>
          <w:trHeight w:val="300"/>
          <w:jc w:val="center"/>
        </w:trPr>
        <w:tc>
          <w:tcPr>
            <w:tcW w:w="2513"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UNION ASSURANCE</w:t>
            </w:r>
          </w:p>
        </w:tc>
        <w:tc>
          <w:tcPr>
            <w:tcW w:w="1276"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13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0.052163</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0.04418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0.014237</w:t>
            </w:r>
          </w:p>
        </w:tc>
        <w:tc>
          <w:tcPr>
            <w:tcW w:w="1290"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0.150239</w:t>
            </w:r>
          </w:p>
        </w:tc>
      </w:tr>
    </w:tbl>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bCs/>
          <w:i/>
          <w:sz w:val="20"/>
          <w:szCs w:val="20"/>
        </w:rPr>
        <w:t xml:space="preserve">Source: </w:t>
      </w:r>
      <w:r>
        <w:rPr>
          <w:rFonts w:ascii="Times New Roman" w:hAnsi="Times New Roman"/>
          <w:bCs/>
          <w:i/>
          <w:sz w:val="20"/>
          <w:szCs w:val="20"/>
        </w:rPr>
        <w:t>financial reports of non-life insurance firms, 2004-2013.</w:t>
      </w:r>
    </w:p>
    <w:p w:rsidR="00436570" w:rsidRPr="00BA3D16" w:rsidRDefault="00436570" w:rsidP="00436570">
      <w:pPr>
        <w:autoSpaceDE w:val="0"/>
        <w:autoSpaceDN w:val="0"/>
        <w:adjustRightInd w:val="0"/>
        <w:spacing w:after="0" w:line="360" w:lineRule="auto"/>
        <w:rPr>
          <w:rFonts w:ascii="Times New Roman" w:hAnsi="Times New Roman"/>
          <w:sz w:val="24"/>
          <w:szCs w:val="24"/>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noProof/>
          <w:sz w:val="24"/>
          <w:szCs w:val="24"/>
        </w:rPr>
        <w:drawing>
          <wp:inline distT="0" distB="0" distL="0" distR="0" wp14:anchorId="2E6B588F" wp14:editId="67313D9D">
            <wp:extent cx="4591050" cy="2743200"/>
            <wp:effectExtent l="19050" t="0" r="0" b="0"/>
            <wp:docPr id="3" name="Char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1"/>
                    <pic:cNvPicPr>
                      <a:picLocks noChangeAspect="1" noChangeArrowheads="1"/>
                    </pic:cNvPicPr>
                  </pic:nvPicPr>
                  <pic:blipFill>
                    <a:blip r:embed="rId8" cstate="print"/>
                    <a:srcRect/>
                    <a:stretch>
                      <a:fillRect/>
                    </a:stretch>
                  </pic:blipFill>
                  <pic:spPr bwMode="auto">
                    <a:xfrm>
                      <a:off x="0" y="0"/>
                      <a:ext cx="4591050" cy="2743200"/>
                    </a:xfrm>
                    <a:prstGeom prst="rect">
                      <a:avLst/>
                    </a:prstGeom>
                    <a:noFill/>
                    <a:ln w="9525">
                      <a:noFill/>
                      <a:miter lim="800000"/>
                      <a:headEnd/>
                      <a:tailEnd/>
                    </a:ln>
                  </pic:spPr>
                </pic:pic>
              </a:graphicData>
            </a:graphic>
          </wp:inline>
        </w:drawing>
      </w:r>
    </w:p>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sz w:val="24"/>
          <w:szCs w:val="24"/>
        </w:rPr>
        <w:lastRenderedPageBreak/>
        <w:t>Fig 3 Line chart of RRPHS</w:t>
      </w:r>
    </w:p>
    <w:p w:rsidR="00436570" w:rsidRPr="00BA3D16" w:rsidRDefault="00436570" w:rsidP="00436570">
      <w:pPr>
        <w:autoSpaceDE w:val="0"/>
        <w:autoSpaceDN w:val="0"/>
        <w:adjustRightInd w:val="0"/>
        <w:spacing w:after="0" w:line="360" w:lineRule="auto"/>
        <w:jc w:val="both"/>
        <w:rPr>
          <w:rFonts w:ascii="Times New Roman" w:hAnsi="Times New Roman"/>
          <w:sz w:val="24"/>
          <w:szCs w:val="24"/>
        </w:rPr>
      </w:pPr>
    </w:p>
    <w:p w:rsidR="00436570" w:rsidRPr="00BA3D16" w:rsidRDefault="00436570" w:rsidP="00436570">
      <w:pPr>
        <w:autoSpaceDE w:val="0"/>
        <w:autoSpaceDN w:val="0"/>
        <w:adjustRightInd w:val="0"/>
        <w:spacing w:after="0" w:line="360" w:lineRule="auto"/>
        <w:jc w:val="both"/>
        <w:rPr>
          <w:rFonts w:ascii="Times New Roman" w:hAnsi="Times New Roman"/>
          <w:sz w:val="24"/>
          <w:szCs w:val="24"/>
        </w:rPr>
      </w:pPr>
      <w:r w:rsidRPr="00BA3D16">
        <w:rPr>
          <w:rFonts w:ascii="Times New Roman" w:hAnsi="Times New Roman"/>
          <w:sz w:val="24"/>
          <w:szCs w:val="24"/>
        </w:rPr>
        <w:t xml:space="preserve">Table 5 and Figure 3 show the descriptive statistics results for </w:t>
      </w:r>
      <w:r w:rsidRPr="00BA3D16">
        <w:rPr>
          <w:rFonts w:ascii="Times New Roman" w:hAnsi="Times New Roman"/>
          <w:iCs/>
          <w:sz w:val="24"/>
          <w:szCs w:val="24"/>
        </w:rPr>
        <w:t>RRPHS</w:t>
      </w:r>
      <w:r w:rsidRPr="00BA3D16">
        <w:rPr>
          <w:rFonts w:ascii="Times New Roman" w:hAnsi="Times New Roman"/>
          <w:sz w:val="24"/>
          <w:szCs w:val="24"/>
        </w:rPr>
        <w:t xml:space="preserve">. RRPHS is the measure of dependence of an insurance company on its reinsurers and show the potential exposure to the collectability problems of insurance. STACO insurance has the maximum </w:t>
      </w:r>
      <w:r w:rsidRPr="00BA3D16">
        <w:rPr>
          <w:rFonts w:ascii="Times New Roman" w:hAnsi="Times New Roman"/>
          <w:i/>
          <w:iCs/>
          <w:sz w:val="24"/>
          <w:szCs w:val="24"/>
        </w:rPr>
        <w:t xml:space="preserve">RRPHS </w:t>
      </w:r>
      <w:r w:rsidRPr="00BA3D16">
        <w:rPr>
          <w:rFonts w:ascii="Times New Roman" w:hAnsi="Times New Roman"/>
          <w:iCs/>
          <w:sz w:val="24"/>
          <w:szCs w:val="24"/>
        </w:rPr>
        <w:t>for the ten years considered for this study with a mean value of</w:t>
      </w:r>
      <w:r w:rsidRPr="00BA3D16">
        <w:rPr>
          <w:rFonts w:ascii="Times New Roman" w:hAnsi="Times New Roman"/>
          <w:i/>
          <w:iCs/>
          <w:sz w:val="24"/>
          <w:szCs w:val="24"/>
        </w:rPr>
        <w:t xml:space="preserve"> </w:t>
      </w:r>
      <w:r w:rsidRPr="00BA3D16">
        <w:rPr>
          <w:rFonts w:ascii="Times New Roman" w:hAnsi="Times New Roman"/>
          <w:color w:val="000000"/>
          <w:sz w:val="24"/>
          <w:szCs w:val="24"/>
        </w:rPr>
        <w:t>419%</w:t>
      </w:r>
      <w:r w:rsidRPr="00BA3D16">
        <w:rPr>
          <w:rFonts w:ascii="Times New Roman" w:hAnsi="Times New Roman"/>
          <w:sz w:val="24"/>
          <w:szCs w:val="24"/>
        </w:rPr>
        <w:t xml:space="preserve">. This ratio is quite high and falls outside the acceptable range of </w:t>
      </w:r>
      <w:proofErr w:type="gramStart"/>
      <w:r w:rsidRPr="00BA3D16">
        <w:rPr>
          <w:rFonts w:ascii="Times New Roman" w:hAnsi="Times New Roman"/>
          <w:sz w:val="24"/>
          <w:szCs w:val="24"/>
        </w:rPr>
        <w:t>between 50% to 150% (Smith</w:t>
      </w:r>
      <w:r>
        <w:rPr>
          <w:rFonts w:ascii="Times New Roman" w:hAnsi="Times New Roman"/>
          <w:sz w:val="24"/>
          <w:szCs w:val="24"/>
        </w:rPr>
        <w:t xml:space="preserve">, 2011; </w:t>
      </w:r>
      <w:proofErr w:type="spellStart"/>
      <w:r>
        <w:rPr>
          <w:rFonts w:ascii="Times New Roman" w:hAnsi="Times New Roman"/>
          <w:sz w:val="24"/>
          <w:szCs w:val="24"/>
        </w:rPr>
        <w:t>Iqbal</w:t>
      </w:r>
      <w:proofErr w:type="spellEnd"/>
      <w:r>
        <w:rPr>
          <w:rFonts w:ascii="Times New Roman" w:hAnsi="Times New Roman"/>
          <w:sz w:val="24"/>
          <w:szCs w:val="24"/>
        </w:rPr>
        <w:t xml:space="preserve"> and </w:t>
      </w:r>
      <w:proofErr w:type="spellStart"/>
      <w:r>
        <w:rPr>
          <w:rFonts w:ascii="Times New Roman" w:hAnsi="Times New Roman"/>
          <w:sz w:val="24"/>
          <w:szCs w:val="24"/>
        </w:rPr>
        <w:t>Rehman</w:t>
      </w:r>
      <w:proofErr w:type="spellEnd"/>
      <w:r>
        <w:rPr>
          <w:rFonts w:ascii="Times New Roman" w:hAnsi="Times New Roman"/>
          <w:sz w:val="24"/>
          <w:szCs w:val="24"/>
        </w:rPr>
        <w:t>, 2014</w:t>
      </w:r>
      <w:r w:rsidRPr="00BA3D16">
        <w:rPr>
          <w:rFonts w:ascii="Times New Roman" w:hAnsi="Times New Roman"/>
          <w:sz w:val="24"/>
          <w:szCs w:val="24"/>
        </w:rPr>
        <w:t>)</w:t>
      </w:r>
      <w:proofErr w:type="gramEnd"/>
      <w:r w:rsidRPr="00BA3D16">
        <w:rPr>
          <w:rFonts w:ascii="Times New Roman" w:hAnsi="Times New Roman"/>
          <w:sz w:val="24"/>
          <w:szCs w:val="24"/>
        </w:rPr>
        <w:t xml:space="preserve">.  This indicates that the company depends so much on reinsurance to meet its obligation to policyholders. The table also shows that Sovereign Trust insurance has the lowest RRPHS with an average value of 120%. This means that the company does not depend on reinsurance recoverable for claims payment. The SD ranges from 0.005 for Niger Insurance and 3.7 for Sovereign Trust </w:t>
      </w:r>
      <w:proofErr w:type="gramStart"/>
      <w:r w:rsidRPr="00BA3D16">
        <w:rPr>
          <w:rFonts w:ascii="Times New Roman" w:hAnsi="Times New Roman"/>
          <w:sz w:val="24"/>
          <w:szCs w:val="24"/>
        </w:rPr>
        <w:t>insurance,</w:t>
      </w:r>
      <w:proofErr w:type="gramEnd"/>
      <w:r w:rsidRPr="00BA3D16">
        <w:rPr>
          <w:rFonts w:ascii="Times New Roman" w:hAnsi="Times New Roman"/>
          <w:sz w:val="24"/>
          <w:szCs w:val="24"/>
        </w:rPr>
        <w:t xml:space="preserve"> this indicates that the mean value for Niger Insurance is a more representative of its average RRPHS when compared to the value for other firms engaged in the study.</w:t>
      </w:r>
    </w:p>
    <w:p w:rsidR="00436570" w:rsidRPr="00BA3D16" w:rsidRDefault="00436570" w:rsidP="00436570">
      <w:pPr>
        <w:autoSpaceDE w:val="0"/>
        <w:autoSpaceDN w:val="0"/>
        <w:adjustRightInd w:val="0"/>
        <w:spacing w:after="0" w:line="240" w:lineRule="auto"/>
        <w:rPr>
          <w:rFonts w:ascii="Times New Roman" w:hAnsi="Times New Roman"/>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Default="00436570" w:rsidP="00436570">
      <w:pPr>
        <w:autoSpaceDE w:val="0"/>
        <w:autoSpaceDN w:val="0"/>
        <w:adjustRightInd w:val="0"/>
        <w:spacing w:after="0" w:line="360" w:lineRule="auto"/>
        <w:rPr>
          <w:rFonts w:ascii="Times New Roman" w:hAnsi="Times New Roman"/>
          <w:b/>
          <w:bCs/>
          <w:sz w:val="24"/>
          <w:szCs w:val="24"/>
        </w:rPr>
      </w:pPr>
    </w:p>
    <w:p w:rsidR="00436570" w:rsidRPr="00BA3D16" w:rsidRDefault="00436570" w:rsidP="00436570">
      <w:pPr>
        <w:autoSpaceDE w:val="0"/>
        <w:autoSpaceDN w:val="0"/>
        <w:adjustRightInd w:val="0"/>
        <w:spacing w:after="0" w:line="360" w:lineRule="auto"/>
        <w:rPr>
          <w:rFonts w:ascii="Times New Roman" w:hAnsi="Times New Roman"/>
          <w:b/>
          <w:bCs/>
          <w:sz w:val="24"/>
          <w:szCs w:val="24"/>
        </w:rPr>
      </w:pPr>
    </w:p>
    <w:p w:rsidR="00436570" w:rsidRPr="00BA3D16" w:rsidRDefault="00436570" w:rsidP="00436570">
      <w:pPr>
        <w:numPr>
          <w:ilvl w:val="0"/>
          <w:numId w:val="2"/>
        </w:numPr>
        <w:autoSpaceDE w:val="0"/>
        <w:autoSpaceDN w:val="0"/>
        <w:adjustRightInd w:val="0"/>
        <w:spacing w:after="0" w:line="360" w:lineRule="auto"/>
        <w:rPr>
          <w:rFonts w:ascii="Times New Roman" w:hAnsi="Times New Roman"/>
          <w:i/>
          <w:sz w:val="24"/>
          <w:szCs w:val="24"/>
        </w:rPr>
      </w:pPr>
      <w:r w:rsidRPr="00BA3D16">
        <w:rPr>
          <w:rFonts w:ascii="Times New Roman" w:hAnsi="Times New Roman"/>
          <w:bCs/>
          <w:i/>
          <w:sz w:val="24"/>
          <w:szCs w:val="24"/>
        </w:rPr>
        <w:lastRenderedPageBreak/>
        <w:t xml:space="preserve">Table </w:t>
      </w:r>
      <w:r>
        <w:rPr>
          <w:rFonts w:ascii="Times New Roman" w:hAnsi="Times New Roman"/>
          <w:bCs/>
          <w:i/>
          <w:sz w:val="24"/>
          <w:szCs w:val="24"/>
        </w:rPr>
        <w:t>5</w:t>
      </w:r>
      <w:r w:rsidRPr="00BA3D16">
        <w:rPr>
          <w:rFonts w:ascii="Times New Roman" w:hAnsi="Times New Roman"/>
          <w:bCs/>
          <w:i/>
          <w:sz w:val="24"/>
          <w:szCs w:val="24"/>
        </w:rPr>
        <w:t>: Descriptive statistics for LR</w:t>
      </w:r>
    </w:p>
    <w:tbl>
      <w:tblPr>
        <w:tblW w:w="8716"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003"/>
        <w:gridCol w:w="1409"/>
        <w:gridCol w:w="1385"/>
        <w:gridCol w:w="1116"/>
        <w:gridCol w:w="1148"/>
      </w:tblGrid>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b/>
                <w:color w:val="000000"/>
                <w:sz w:val="20"/>
                <w:szCs w:val="20"/>
                <w:lang w:eastAsia="en-GB"/>
              </w:rPr>
              <w:t>INSURANCE COMPANIES  </w:t>
            </w:r>
          </w:p>
        </w:tc>
        <w:tc>
          <w:tcPr>
            <w:tcW w:w="1003"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NO. OF YEARS</w:t>
            </w:r>
          </w:p>
        </w:tc>
        <w:tc>
          <w:tcPr>
            <w:tcW w:w="1409"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MEAN</w:t>
            </w:r>
          </w:p>
        </w:tc>
        <w:tc>
          <w:tcPr>
            <w:tcW w:w="1385"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S.D</w:t>
            </w:r>
          </w:p>
        </w:tc>
        <w:tc>
          <w:tcPr>
            <w:tcW w:w="1116"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MIN</w:t>
            </w:r>
          </w:p>
        </w:tc>
        <w:tc>
          <w:tcPr>
            <w:tcW w:w="1148" w:type="dxa"/>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MAX</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AIICO</w:t>
            </w:r>
          </w:p>
        </w:tc>
        <w:tc>
          <w:tcPr>
            <w:tcW w:w="1003" w:type="dxa"/>
            <w:shd w:val="clear" w:color="auto" w:fill="auto"/>
            <w:noWrap/>
            <w:vAlign w:val="bottom"/>
            <w:hideMark/>
          </w:tcPr>
          <w:p w:rsidR="00436570" w:rsidRPr="00BA3D16" w:rsidRDefault="00436570" w:rsidP="00FD4479">
            <w:pPr>
              <w:spacing w:after="0" w:line="240" w:lineRule="auto"/>
              <w:jc w:val="center"/>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0.181037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0.125628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0.06906</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0.446223</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CONSOLIDATED HALL MARK</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0.137312</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0.046557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0.073153</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0.242415</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CORNERSTONE</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0.252278</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0.13306</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0.012463</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0.456639</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EQUITY ASSURANCE</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0.744367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1.072331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0.021406</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2.918152</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GUINEA</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0.118344</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0.10005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0.003703</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0.287009</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LASACO ASSURANCE PLC</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0.292223</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0.457617</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0.058339</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1.574559</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LAW UNION AND ROCK PLC</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0.244185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0.196408</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0.126298</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0.795065</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LEADWAY</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0.793177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1.195052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0.140756</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3.146459</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MANSARD</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0.149199</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0.072772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0.013804</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0.259897</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NEM INSURANCE PLC</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0.201145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0.087015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0.101564</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0.371644</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NIGER INSURANCE</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0.152222</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0.07569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0.063385</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0.292119</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OASIS</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0.155647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0.062733</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0.094349</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0.303309</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ROYAL EXCHANGE</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0.453537</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0.296109</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0.294988</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1.276327</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SOVEREIGN TRUST INSURANCE PLC</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0.210622</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0.097981</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0.118876</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0.394526</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STACO</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0.908735</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1.451122</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0.01547</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4.589063</w:t>
            </w:r>
          </w:p>
        </w:tc>
      </w:tr>
      <w:tr w:rsidR="00436570" w:rsidRPr="00BA3D16" w:rsidTr="00FD4479">
        <w:trPr>
          <w:trHeight w:val="300"/>
          <w:jc w:val="center"/>
        </w:trPr>
        <w:tc>
          <w:tcPr>
            <w:tcW w:w="2655" w:type="dxa"/>
            <w:shd w:val="clear" w:color="auto" w:fill="auto"/>
            <w:noWrap/>
            <w:vAlign w:val="bottom"/>
            <w:hideMark/>
          </w:tcPr>
          <w:p w:rsidR="00436570" w:rsidRPr="00BA3D16" w:rsidRDefault="00436570" w:rsidP="00FD4479">
            <w:pPr>
              <w:spacing w:after="0" w:line="240" w:lineRule="auto"/>
              <w:rPr>
                <w:rFonts w:ascii="Times New Roman" w:eastAsia="Times New Roman" w:hAnsi="Times New Roman"/>
                <w:color w:val="000000"/>
                <w:sz w:val="24"/>
                <w:szCs w:val="24"/>
                <w:lang w:eastAsia="en-GB"/>
              </w:rPr>
            </w:pPr>
            <w:r w:rsidRPr="00BA3D16">
              <w:rPr>
                <w:rFonts w:ascii="Times New Roman" w:eastAsia="Times New Roman" w:hAnsi="Times New Roman"/>
                <w:color w:val="000000"/>
                <w:sz w:val="24"/>
                <w:szCs w:val="24"/>
                <w:lang w:eastAsia="en-GB"/>
              </w:rPr>
              <w:t>UNION ASSURANCE</w:t>
            </w:r>
          </w:p>
        </w:tc>
        <w:tc>
          <w:tcPr>
            <w:tcW w:w="1003" w:type="dxa"/>
            <w:shd w:val="clear" w:color="auto" w:fill="auto"/>
            <w:noWrap/>
            <w:hideMark/>
          </w:tcPr>
          <w:p w:rsidR="00436570" w:rsidRPr="00BA3D16" w:rsidRDefault="00436570" w:rsidP="00FD4479">
            <w:pPr>
              <w:spacing w:after="0" w:line="240" w:lineRule="auto"/>
              <w:jc w:val="center"/>
              <w:rPr>
                <w:rFonts w:ascii="Times New Roman" w:hAnsi="Times New Roman"/>
                <w:sz w:val="24"/>
                <w:szCs w:val="24"/>
              </w:rPr>
            </w:pPr>
            <w:r w:rsidRPr="00BA3D16">
              <w:rPr>
                <w:rFonts w:ascii="Times New Roman" w:eastAsia="Times New Roman" w:hAnsi="Times New Roman"/>
                <w:color w:val="000000"/>
                <w:sz w:val="24"/>
                <w:szCs w:val="24"/>
                <w:lang w:eastAsia="en-GB"/>
              </w:rPr>
              <w:t>10</w:t>
            </w:r>
          </w:p>
        </w:tc>
        <w:tc>
          <w:tcPr>
            <w:tcW w:w="1409"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0.228971</w:t>
            </w:r>
          </w:p>
        </w:tc>
        <w:tc>
          <w:tcPr>
            <w:tcW w:w="1385"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0.047165</w:t>
            </w:r>
          </w:p>
        </w:tc>
        <w:tc>
          <w:tcPr>
            <w:tcW w:w="1116" w:type="dxa"/>
            <w:shd w:val="clear" w:color="auto" w:fill="auto"/>
            <w:noWrap/>
            <w:vAlign w:val="bottom"/>
            <w:hideMark/>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0.149795</w:t>
            </w:r>
          </w:p>
        </w:tc>
        <w:tc>
          <w:tcPr>
            <w:tcW w:w="1148" w:type="dxa"/>
            <w:vAlign w:val="bottom"/>
          </w:tcPr>
          <w:p w:rsidR="00436570" w:rsidRPr="00BA3D16" w:rsidRDefault="00436570" w:rsidP="00FD4479">
            <w:pPr>
              <w:spacing w:after="0" w:line="240" w:lineRule="auto"/>
              <w:jc w:val="right"/>
              <w:rPr>
                <w:rFonts w:ascii="Times New Roman" w:hAnsi="Times New Roman"/>
                <w:color w:val="000000"/>
                <w:sz w:val="24"/>
                <w:szCs w:val="24"/>
              </w:rPr>
            </w:pPr>
            <w:r w:rsidRPr="00BA3D16">
              <w:rPr>
                <w:rFonts w:ascii="Times New Roman" w:hAnsi="Times New Roman"/>
                <w:color w:val="000000"/>
                <w:sz w:val="24"/>
                <w:szCs w:val="24"/>
              </w:rPr>
              <w:t>0.318769</w:t>
            </w:r>
          </w:p>
        </w:tc>
      </w:tr>
    </w:tbl>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bCs/>
          <w:i/>
          <w:sz w:val="20"/>
          <w:szCs w:val="20"/>
        </w:rPr>
        <w:t xml:space="preserve">Source: </w:t>
      </w:r>
      <w:r>
        <w:rPr>
          <w:rFonts w:ascii="Times New Roman" w:hAnsi="Times New Roman"/>
          <w:bCs/>
          <w:i/>
          <w:sz w:val="20"/>
          <w:szCs w:val="20"/>
        </w:rPr>
        <w:t>financial reports of non-life insurance firms, 2004-2013.</w:t>
      </w:r>
    </w:p>
    <w:p w:rsidR="00436570" w:rsidRDefault="00436570" w:rsidP="00436570">
      <w:pPr>
        <w:autoSpaceDE w:val="0"/>
        <w:autoSpaceDN w:val="0"/>
        <w:adjustRightInd w:val="0"/>
        <w:spacing w:after="0" w:line="240" w:lineRule="auto"/>
        <w:rPr>
          <w:rFonts w:ascii="Times New Roman" w:hAnsi="Times New Roman"/>
          <w:b/>
          <w:sz w:val="24"/>
          <w:szCs w:val="24"/>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p>
    <w:p w:rsidR="00436570" w:rsidRPr="00BA3D16" w:rsidRDefault="00436570" w:rsidP="00436570">
      <w:pPr>
        <w:autoSpaceDE w:val="0"/>
        <w:autoSpaceDN w:val="0"/>
        <w:adjustRightInd w:val="0"/>
        <w:spacing w:after="0" w:line="360" w:lineRule="auto"/>
        <w:rPr>
          <w:rFonts w:ascii="Times New Roman" w:hAnsi="Times New Roman"/>
          <w:sz w:val="24"/>
          <w:szCs w:val="24"/>
        </w:rPr>
      </w:pPr>
      <w:r w:rsidRPr="00BA3D16">
        <w:rPr>
          <w:rFonts w:ascii="Times New Roman" w:hAnsi="Times New Roman"/>
          <w:noProof/>
          <w:sz w:val="24"/>
          <w:szCs w:val="24"/>
        </w:rPr>
        <w:drawing>
          <wp:inline distT="0" distB="0" distL="0" distR="0" wp14:anchorId="70D30FEC" wp14:editId="6C16D2BC">
            <wp:extent cx="4591050" cy="2743200"/>
            <wp:effectExtent l="19050" t="0" r="0" b="0"/>
            <wp:docPr id="4" name="Ch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2"/>
                    <pic:cNvPicPr>
                      <a:picLocks noChangeAspect="1" noChangeArrowheads="1"/>
                    </pic:cNvPicPr>
                  </pic:nvPicPr>
                  <pic:blipFill>
                    <a:blip r:embed="rId9" cstate="print"/>
                    <a:srcRect/>
                    <a:stretch>
                      <a:fillRect/>
                    </a:stretch>
                  </pic:blipFill>
                  <pic:spPr bwMode="auto">
                    <a:xfrm>
                      <a:off x="0" y="0"/>
                      <a:ext cx="4591050" cy="2743200"/>
                    </a:xfrm>
                    <a:prstGeom prst="rect">
                      <a:avLst/>
                    </a:prstGeom>
                    <a:noFill/>
                    <a:ln w="9525">
                      <a:noFill/>
                      <a:miter lim="800000"/>
                      <a:headEnd/>
                      <a:tailEnd/>
                    </a:ln>
                  </pic:spPr>
                </pic:pic>
              </a:graphicData>
            </a:graphic>
          </wp:inline>
        </w:drawing>
      </w:r>
    </w:p>
    <w:p w:rsidR="00436570" w:rsidRPr="00BA3D16" w:rsidRDefault="00436570" w:rsidP="00436570">
      <w:pPr>
        <w:pStyle w:val="NormalWeb"/>
      </w:pPr>
      <w:r w:rsidRPr="00BA3D16">
        <w:lastRenderedPageBreak/>
        <w:t>Fig 4 Line chart of LR</w:t>
      </w:r>
    </w:p>
    <w:p w:rsidR="00436570" w:rsidRPr="00BA3D16" w:rsidRDefault="00436570" w:rsidP="00436570">
      <w:pPr>
        <w:pStyle w:val="NormalWeb"/>
        <w:spacing w:line="360" w:lineRule="auto"/>
        <w:jc w:val="both"/>
      </w:pPr>
      <w:r w:rsidRPr="00BA3D16">
        <w:t xml:space="preserve">Table 6 and Fig 4 show the result of the descriptive analysis for the LR of the sixteen insurance firms engaged in this study. STACO Insurance recorded the highest mean value, an indication that on the average, the firm expend 90.8% of the total premium collected on claim but  this is not in the company’s favour because the lower the LR, the more profitable. Guinea Insurance has the lowest mean value of 11.8% which means that only about 12% of their total premium is paid back to policyholders as claim. </w:t>
      </w:r>
      <w:proofErr w:type="spellStart"/>
      <w:r w:rsidRPr="00BA3D16">
        <w:t>Leadway</w:t>
      </w:r>
      <w:proofErr w:type="spellEnd"/>
      <w:r w:rsidRPr="00BA3D16">
        <w:t xml:space="preserve"> Assurance has the highest SD (1.19.) and </w:t>
      </w:r>
      <w:r w:rsidRPr="00BA3D16">
        <w:rPr>
          <w:color w:val="000000"/>
        </w:rPr>
        <w:t>Consolidated Hallmark</w:t>
      </w:r>
      <w:r w:rsidRPr="00BA3D16">
        <w:t xml:space="preserve"> Insurance has the lowest SD (0.046). It means that the mean LR value of </w:t>
      </w:r>
      <w:r w:rsidRPr="00BA3D16">
        <w:rPr>
          <w:color w:val="000000"/>
        </w:rPr>
        <w:t>Consolidated Hallmark</w:t>
      </w:r>
      <w:r w:rsidRPr="00BA3D16">
        <w:t xml:space="preserve"> Insurance is the most reliable.</w:t>
      </w:r>
    </w:p>
    <w:p w:rsidR="004D12A1" w:rsidRDefault="004D12A1"/>
    <w:sectPr w:rsidR="004D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5BBB"/>
    <w:multiLevelType w:val="hybridMultilevel"/>
    <w:tmpl w:val="0BDC4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FF3F1D"/>
    <w:multiLevelType w:val="hybridMultilevel"/>
    <w:tmpl w:val="94B6B36A"/>
    <w:lvl w:ilvl="0" w:tplc="CBD6603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70"/>
    <w:rsid w:val="00436570"/>
    <w:rsid w:val="004D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57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43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7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57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43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7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2018-11-29T11:17:00Z</dcterms:created>
  <dcterms:modified xsi:type="dcterms:W3CDTF">2018-11-29T11:23:00Z</dcterms:modified>
</cp:coreProperties>
</file>