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E7A" w:rsidRPr="00AB08FC" w:rsidRDefault="00E33E7A" w:rsidP="00A15675">
      <w:pPr>
        <w:spacing w:after="0" w:line="240" w:lineRule="auto"/>
        <w:jc w:val="center"/>
        <w:rPr>
          <w:rFonts w:ascii="Times New Roman" w:hAnsi="Times New Roman" w:cs="Times New Roman"/>
          <w:b/>
          <w:bCs/>
        </w:rPr>
      </w:pPr>
    </w:p>
    <w:p w:rsidR="00E33E7A" w:rsidRPr="00AB08FC" w:rsidRDefault="00E33E7A" w:rsidP="00A15675">
      <w:pPr>
        <w:spacing w:after="0" w:line="240" w:lineRule="auto"/>
        <w:jc w:val="center"/>
        <w:rPr>
          <w:rFonts w:ascii="Times New Roman" w:hAnsi="Times New Roman" w:cs="Times New Roman"/>
          <w:b/>
          <w:bCs/>
          <w:color w:val="0000FF"/>
          <w:sz w:val="24"/>
          <w:szCs w:val="24"/>
        </w:rPr>
      </w:pPr>
      <w:r w:rsidRPr="00AB08FC">
        <w:rPr>
          <w:rFonts w:ascii="Times New Roman" w:hAnsi="Times New Roman" w:cs="Times New Roman"/>
          <w:b/>
          <w:bCs/>
          <w:sz w:val="24"/>
          <w:szCs w:val="24"/>
        </w:rPr>
        <w:t>THE ADVERTISING MARKET OF EUROPEAN UNION COUNTRIES – THE EVOLUTION IN RECENT YEARS</w:t>
      </w:r>
    </w:p>
    <w:p w:rsidR="00E33E7A" w:rsidRPr="00AB08FC" w:rsidRDefault="00E33E7A" w:rsidP="00C50AA1">
      <w:pPr>
        <w:spacing w:after="0" w:line="240" w:lineRule="auto"/>
        <w:jc w:val="center"/>
        <w:rPr>
          <w:rFonts w:ascii="Times New Roman" w:hAnsi="Times New Roman" w:cs="Times New Roman"/>
          <w:color w:val="0000FF"/>
        </w:rPr>
      </w:pPr>
    </w:p>
    <w:p w:rsidR="00E33E7A" w:rsidRPr="00D43061" w:rsidRDefault="00E33E7A" w:rsidP="00C50AA1">
      <w:pPr>
        <w:spacing w:after="0" w:line="240" w:lineRule="auto"/>
        <w:jc w:val="center"/>
        <w:rPr>
          <w:rFonts w:ascii="Times New Roman" w:hAnsi="Times New Roman" w:cs="Times New Roman"/>
          <w:b/>
          <w:bCs/>
          <w:sz w:val="20"/>
          <w:szCs w:val="20"/>
        </w:rPr>
      </w:pPr>
      <w:r w:rsidRPr="00D43061">
        <w:rPr>
          <w:rFonts w:ascii="Times New Roman" w:hAnsi="Times New Roman" w:cs="Times New Roman"/>
          <w:b/>
          <w:bCs/>
          <w:sz w:val="20"/>
          <w:szCs w:val="20"/>
        </w:rPr>
        <w:t>Laura Cătălina Ţimiraş</w:t>
      </w:r>
    </w:p>
    <w:p w:rsidR="00E33E7A" w:rsidRDefault="00E33E7A" w:rsidP="00C50AA1">
      <w:pPr>
        <w:spacing w:after="0" w:line="240" w:lineRule="auto"/>
        <w:jc w:val="center"/>
        <w:rPr>
          <w:rFonts w:ascii="Times New Roman" w:hAnsi="Times New Roman" w:cs="Times New Roman"/>
          <w:sz w:val="20"/>
          <w:szCs w:val="20"/>
        </w:rPr>
      </w:pPr>
      <w:r w:rsidRPr="00AB08FC">
        <w:rPr>
          <w:rFonts w:ascii="Times New Roman" w:hAnsi="Times New Roman" w:cs="Times New Roman"/>
          <w:sz w:val="20"/>
          <w:szCs w:val="20"/>
        </w:rPr>
        <w:t>Universit</w:t>
      </w:r>
      <w:r>
        <w:rPr>
          <w:rFonts w:ascii="Times New Roman" w:hAnsi="Times New Roman" w:cs="Times New Roman"/>
          <w:sz w:val="20"/>
          <w:szCs w:val="20"/>
        </w:rPr>
        <w:t>y “Vasile Alecsandri” of Bacau</w:t>
      </w:r>
    </w:p>
    <w:p w:rsidR="00E33E7A" w:rsidRPr="00AB08FC" w:rsidRDefault="00E33E7A" w:rsidP="00C50AA1">
      <w:pPr>
        <w:spacing w:after="0" w:line="240" w:lineRule="auto"/>
        <w:jc w:val="center"/>
        <w:rPr>
          <w:rFonts w:ascii="Times New Roman" w:hAnsi="Times New Roman" w:cs="Times New Roman"/>
          <w:sz w:val="20"/>
          <w:szCs w:val="20"/>
        </w:rPr>
      </w:pPr>
      <w:r w:rsidRPr="00AB08FC">
        <w:rPr>
          <w:rFonts w:ascii="Times New Roman" w:hAnsi="Times New Roman" w:cs="Times New Roman"/>
          <w:sz w:val="20"/>
          <w:szCs w:val="20"/>
        </w:rPr>
        <w:t xml:space="preserve">timiras.laura@ub.ro </w:t>
      </w:r>
    </w:p>
    <w:p w:rsidR="00E33E7A" w:rsidRPr="00AB08FC" w:rsidRDefault="00E33E7A" w:rsidP="00C50AA1">
      <w:pPr>
        <w:spacing w:after="0" w:line="240" w:lineRule="auto"/>
        <w:jc w:val="center"/>
        <w:rPr>
          <w:rFonts w:ascii="Times New Roman" w:hAnsi="Times New Roman" w:cs="Times New Roman"/>
        </w:rPr>
      </w:pPr>
    </w:p>
    <w:p w:rsidR="00E33E7A" w:rsidRPr="00AB08FC" w:rsidRDefault="00E33E7A" w:rsidP="00C50AA1">
      <w:pPr>
        <w:spacing w:after="0" w:line="240" w:lineRule="auto"/>
        <w:rPr>
          <w:rFonts w:ascii="Times New Roman" w:hAnsi="Times New Roman" w:cs="Times New Roman"/>
        </w:rPr>
      </w:pPr>
    </w:p>
    <w:p w:rsidR="00E33E7A" w:rsidRPr="00AB08FC" w:rsidRDefault="00E33E7A" w:rsidP="00A15675">
      <w:pPr>
        <w:spacing w:after="0" w:line="240" w:lineRule="auto"/>
        <w:rPr>
          <w:rFonts w:ascii="Times New Roman" w:hAnsi="Times New Roman" w:cs="Times New Roman"/>
          <w:b/>
          <w:bCs/>
        </w:rPr>
      </w:pPr>
      <w:r w:rsidRPr="00AB08FC">
        <w:rPr>
          <w:rFonts w:ascii="Times New Roman" w:hAnsi="Times New Roman" w:cs="Times New Roman"/>
          <w:b/>
          <w:bCs/>
        </w:rPr>
        <w:t>Abstract</w:t>
      </w:r>
    </w:p>
    <w:p w:rsidR="00E33E7A" w:rsidRPr="00AB08FC" w:rsidRDefault="00E33E7A" w:rsidP="00A8621E">
      <w:pPr>
        <w:spacing w:after="0" w:line="240" w:lineRule="auto"/>
        <w:jc w:val="both"/>
        <w:rPr>
          <w:rFonts w:ascii="Times New Roman" w:hAnsi="Times New Roman" w:cs="Times New Roman"/>
          <w:i/>
          <w:iCs/>
          <w:sz w:val="18"/>
          <w:szCs w:val="18"/>
        </w:rPr>
      </w:pPr>
      <w:r w:rsidRPr="00AB08FC">
        <w:rPr>
          <w:rFonts w:ascii="Times New Roman" w:hAnsi="Times New Roman" w:cs="Times New Roman"/>
          <w:i/>
          <w:iCs/>
          <w:sz w:val="18"/>
          <w:szCs w:val="18"/>
        </w:rPr>
        <w:t>This pape</w:t>
      </w:r>
      <w:r>
        <w:rPr>
          <w:rFonts w:ascii="Times New Roman" w:hAnsi="Times New Roman" w:cs="Times New Roman"/>
          <w:i/>
          <w:iCs/>
          <w:sz w:val="18"/>
          <w:szCs w:val="18"/>
        </w:rPr>
        <w:t>r seeks to highlight how the EU</w:t>
      </w:r>
      <w:r w:rsidRPr="00AB08FC">
        <w:rPr>
          <w:rFonts w:ascii="Times New Roman" w:hAnsi="Times New Roman" w:cs="Times New Roman"/>
          <w:i/>
          <w:iCs/>
          <w:sz w:val="18"/>
          <w:szCs w:val="18"/>
        </w:rPr>
        <w:t xml:space="preserve"> advertising market has evolved in recent years, as well as the link between the macroeconomic outcomes of the analyzed countries and the size of this market. According to the analyzed statistical data </w:t>
      </w:r>
      <w:r>
        <w:rPr>
          <w:rFonts w:ascii="Times New Roman" w:hAnsi="Times New Roman" w:cs="Times New Roman"/>
          <w:i/>
          <w:iCs/>
          <w:sz w:val="18"/>
          <w:szCs w:val="18"/>
        </w:rPr>
        <w:t xml:space="preserve">provided </w:t>
      </w:r>
      <w:r w:rsidRPr="00AB08FC">
        <w:rPr>
          <w:rFonts w:ascii="Times New Roman" w:hAnsi="Times New Roman" w:cs="Times New Roman"/>
          <w:i/>
          <w:iCs/>
          <w:sz w:val="18"/>
          <w:szCs w:val="18"/>
        </w:rPr>
        <w:t xml:space="preserve">by Eurostat in recent years for which we have data, the advertising market (assessed by the Turnover or gross premiums written indicator) registered an upward trend in the </w:t>
      </w:r>
      <w:r>
        <w:rPr>
          <w:rFonts w:ascii="Times New Roman" w:hAnsi="Times New Roman" w:cs="Times New Roman"/>
          <w:i/>
          <w:iCs/>
          <w:sz w:val="18"/>
          <w:szCs w:val="18"/>
        </w:rPr>
        <w:t>EU</w:t>
      </w:r>
      <w:r w:rsidRPr="00AB08FC">
        <w:rPr>
          <w:rFonts w:ascii="Times New Roman" w:hAnsi="Times New Roman" w:cs="Times New Roman"/>
          <w:i/>
          <w:iCs/>
          <w:sz w:val="18"/>
          <w:szCs w:val="18"/>
        </w:rPr>
        <w:t xml:space="preserve">, with the old EU members accounting about 90% of the total </w:t>
      </w:r>
      <w:r>
        <w:rPr>
          <w:rFonts w:ascii="Times New Roman" w:hAnsi="Times New Roman" w:cs="Times New Roman"/>
          <w:i/>
          <w:iCs/>
          <w:sz w:val="18"/>
          <w:szCs w:val="18"/>
        </w:rPr>
        <w:t>m</w:t>
      </w:r>
      <w:r w:rsidRPr="00AB08FC">
        <w:rPr>
          <w:rFonts w:ascii="Times New Roman" w:hAnsi="Times New Roman" w:cs="Times New Roman"/>
          <w:i/>
          <w:iCs/>
          <w:sz w:val="18"/>
          <w:szCs w:val="18"/>
        </w:rPr>
        <w:t xml:space="preserve">arket, </w:t>
      </w:r>
      <w:r>
        <w:rPr>
          <w:rFonts w:ascii="Times New Roman" w:hAnsi="Times New Roman" w:cs="Times New Roman"/>
          <w:i/>
          <w:iCs/>
          <w:sz w:val="18"/>
          <w:szCs w:val="18"/>
        </w:rPr>
        <w:t>and</w:t>
      </w:r>
      <w:r w:rsidRPr="00AB08FC">
        <w:rPr>
          <w:rFonts w:ascii="Times New Roman" w:hAnsi="Times New Roman" w:cs="Times New Roman"/>
          <w:i/>
          <w:iCs/>
          <w:sz w:val="18"/>
          <w:szCs w:val="18"/>
        </w:rPr>
        <w:t xml:space="preserve"> the new </w:t>
      </w:r>
      <w:r>
        <w:rPr>
          <w:rFonts w:ascii="Times New Roman" w:hAnsi="Times New Roman" w:cs="Times New Roman"/>
          <w:i/>
          <w:iCs/>
          <w:sz w:val="18"/>
          <w:szCs w:val="18"/>
        </w:rPr>
        <w:t>m</w:t>
      </w:r>
      <w:r w:rsidRPr="00AB08FC">
        <w:rPr>
          <w:rFonts w:ascii="Times New Roman" w:hAnsi="Times New Roman" w:cs="Times New Roman"/>
          <w:i/>
          <w:iCs/>
          <w:sz w:val="18"/>
          <w:szCs w:val="18"/>
        </w:rPr>
        <w:t xml:space="preserve">ember </w:t>
      </w:r>
      <w:r>
        <w:rPr>
          <w:rFonts w:ascii="Times New Roman" w:hAnsi="Times New Roman" w:cs="Times New Roman"/>
          <w:i/>
          <w:iCs/>
          <w:sz w:val="18"/>
          <w:szCs w:val="18"/>
        </w:rPr>
        <w:t>s</w:t>
      </w:r>
      <w:r w:rsidRPr="00AB08FC">
        <w:rPr>
          <w:rFonts w:ascii="Times New Roman" w:hAnsi="Times New Roman" w:cs="Times New Roman"/>
          <w:i/>
          <w:iCs/>
          <w:sz w:val="18"/>
          <w:szCs w:val="18"/>
        </w:rPr>
        <w:t xml:space="preserve">tates just over 10%. The number of market operators also increased, with about 75% of them operating at the level of the old EU members. The size of the advertising markets at the level of the analyzed countries is closely linked to the recorded macroeconomic outcomes, with a direct and strong link between the gross premiums written and the Gross </w:t>
      </w:r>
      <w:r>
        <w:rPr>
          <w:rFonts w:ascii="Times New Roman" w:hAnsi="Times New Roman" w:cs="Times New Roman"/>
          <w:i/>
          <w:iCs/>
          <w:sz w:val="18"/>
          <w:szCs w:val="18"/>
        </w:rPr>
        <w:t>d</w:t>
      </w:r>
      <w:r w:rsidRPr="00AB08FC">
        <w:rPr>
          <w:rFonts w:ascii="Times New Roman" w:hAnsi="Times New Roman" w:cs="Times New Roman"/>
          <w:i/>
          <w:iCs/>
          <w:sz w:val="18"/>
          <w:szCs w:val="18"/>
        </w:rPr>
        <w:t xml:space="preserve">omestic </w:t>
      </w:r>
      <w:r>
        <w:rPr>
          <w:rFonts w:ascii="Times New Roman" w:hAnsi="Times New Roman" w:cs="Times New Roman"/>
          <w:i/>
          <w:iCs/>
          <w:sz w:val="18"/>
          <w:szCs w:val="18"/>
        </w:rPr>
        <w:t>p</w:t>
      </w:r>
      <w:r w:rsidRPr="00AB08FC">
        <w:rPr>
          <w:rFonts w:ascii="Times New Roman" w:hAnsi="Times New Roman" w:cs="Times New Roman"/>
          <w:i/>
          <w:iCs/>
          <w:sz w:val="18"/>
          <w:szCs w:val="18"/>
        </w:rPr>
        <w:t xml:space="preserve">roduct. The link has been studied both across EU countries and separately </w:t>
      </w:r>
      <w:r>
        <w:rPr>
          <w:rFonts w:ascii="Times New Roman" w:hAnsi="Times New Roman" w:cs="Times New Roman"/>
          <w:i/>
          <w:iCs/>
          <w:sz w:val="18"/>
          <w:szCs w:val="18"/>
        </w:rPr>
        <w:t>for</w:t>
      </w:r>
      <w:r w:rsidRPr="00AB08FC">
        <w:rPr>
          <w:rFonts w:ascii="Times New Roman" w:hAnsi="Times New Roman" w:cs="Times New Roman"/>
          <w:i/>
          <w:iCs/>
          <w:sz w:val="18"/>
          <w:szCs w:val="18"/>
        </w:rPr>
        <w:t xml:space="preserve"> the two categories of old states (EU - 15) and new EU members.</w:t>
      </w:r>
    </w:p>
    <w:p w:rsidR="00E33E7A" w:rsidRPr="00AB08FC" w:rsidRDefault="00E33E7A" w:rsidP="00A15675">
      <w:pPr>
        <w:spacing w:after="0" w:line="240" w:lineRule="auto"/>
        <w:jc w:val="both"/>
        <w:rPr>
          <w:rFonts w:ascii="Times New Roman" w:hAnsi="Times New Roman" w:cs="Times New Roman"/>
          <w:i/>
          <w:iCs/>
        </w:rPr>
      </w:pPr>
    </w:p>
    <w:p w:rsidR="00E33E7A" w:rsidRPr="00AB08FC" w:rsidRDefault="00E33E7A" w:rsidP="00A15675">
      <w:pPr>
        <w:spacing w:after="0" w:line="240" w:lineRule="auto"/>
        <w:jc w:val="both"/>
        <w:rPr>
          <w:rFonts w:ascii="Times New Roman" w:hAnsi="Times New Roman" w:cs="Times New Roman"/>
          <w:b/>
          <w:bCs/>
        </w:rPr>
      </w:pPr>
      <w:r w:rsidRPr="00AB08FC">
        <w:rPr>
          <w:rFonts w:ascii="Times New Roman" w:hAnsi="Times New Roman" w:cs="Times New Roman"/>
          <w:b/>
          <w:bCs/>
        </w:rPr>
        <w:t>Keywords</w:t>
      </w:r>
    </w:p>
    <w:p w:rsidR="00E33E7A" w:rsidRPr="00AB08FC" w:rsidRDefault="00E33E7A" w:rsidP="00D402C7">
      <w:pPr>
        <w:spacing w:after="0" w:line="240" w:lineRule="auto"/>
        <w:jc w:val="both"/>
        <w:rPr>
          <w:rFonts w:ascii="Times New Roman" w:hAnsi="Times New Roman" w:cs="Times New Roman"/>
          <w:i/>
          <w:iCs/>
          <w:sz w:val="18"/>
          <w:szCs w:val="18"/>
        </w:rPr>
      </w:pPr>
      <w:r w:rsidRPr="00AB08FC">
        <w:rPr>
          <w:rStyle w:val="longtext"/>
          <w:rFonts w:ascii="Times New Roman" w:hAnsi="Times New Roman" w:cs="Times New Roman"/>
          <w:i/>
          <w:iCs/>
          <w:sz w:val="18"/>
          <w:szCs w:val="18"/>
        </w:rPr>
        <w:t xml:space="preserve">Advertising market, </w:t>
      </w:r>
      <w:r w:rsidRPr="00AB08FC">
        <w:rPr>
          <w:rFonts w:ascii="Times New Roman" w:hAnsi="Times New Roman" w:cs="Times New Roman"/>
          <w:i/>
          <w:iCs/>
          <w:sz w:val="18"/>
          <w:szCs w:val="18"/>
        </w:rPr>
        <w:t>Turnover or gross premiums written</w:t>
      </w:r>
      <w:r w:rsidRPr="00AB08FC">
        <w:rPr>
          <w:rStyle w:val="longtext"/>
          <w:rFonts w:ascii="Times New Roman" w:hAnsi="Times New Roman" w:cs="Times New Roman"/>
          <w:i/>
          <w:iCs/>
          <w:sz w:val="18"/>
          <w:szCs w:val="18"/>
        </w:rPr>
        <w:t xml:space="preserve">, </w:t>
      </w:r>
      <w:r w:rsidRPr="00AB08FC">
        <w:rPr>
          <w:rFonts w:ascii="Times New Roman" w:hAnsi="Times New Roman" w:cs="Times New Roman"/>
          <w:i/>
          <w:iCs/>
          <w:sz w:val="18"/>
          <w:szCs w:val="18"/>
        </w:rPr>
        <w:t>Number of enterprises,</w:t>
      </w:r>
      <w:r>
        <w:rPr>
          <w:rFonts w:ascii="Times New Roman" w:hAnsi="Times New Roman" w:cs="Times New Roman"/>
          <w:i/>
          <w:iCs/>
          <w:sz w:val="18"/>
          <w:szCs w:val="18"/>
        </w:rPr>
        <w:t xml:space="preserve"> </w:t>
      </w:r>
      <w:r w:rsidRPr="00AB08FC">
        <w:rPr>
          <w:rFonts w:ascii="Times New Roman" w:hAnsi="Times New Roman" w:cs="Times New Roman"/>
          <w:i/>
          <w:iCs/>
          <w:sz w:val="18"/>
          <w:szCs w:val="18"/>
        </w:rPr>
        <w:t>Gross domestic product,</w:t>
      </w:r>
      <w:r w:rsidRPr="00AB08FC">
        <w:rPr>
          <w:rStyle w:val="longtext"/>
          <w:rFonts w:ascii="Times New Roman" w:hAnsi="Times New Roman" w:cs="Times New Roman"/>
          <w:i/>
          <w:iCs/>
          <w:sz w:val="18"/>
          <w:szCs w:val="18"/>
        </w:rPr>
        <w:t xml:space="preserve"> EU member states</w:t>
      </w:r>
    </w:p>
    <w:p w:rsidR="00E33E7A" w:rsidRPr="00AB08FC" w:rsidRDefault="00E33E7A" w:rsidP="00A15675">
      <w:pPr>
        <w:spacing w:after="0" w:line="240" w:lineRule="auto"/>
        <w:jc w:val="both"/>
        <w:rPr>
          <w:rFonts w:ascii="Times New Roman" w:hAnsi="Times New Roman" w:cs="Times New Roman"/>
        </w:rPr>
      </w:pPr>
    </w:p>
    <w:p w:rsidR="00E33E7A" w:rsidRPr="00AB08FC" w:rsidRDefault="00E33E7A" w:rsidP="00A15675">
      <w:pPr>
        <w:spacing w:after="0" w:line="240" w:lineRule="auto"/>
        <w:jc w:val="both"/>
        <w:rPr>
          <w:rFonts w:ascii="Times New Roman" w:hAnsi="Times New Roman" w:cs="Times New Roman"/>
          <w:b/>
          <w:bCs/>
        </w:rPr>
      </w:pPr>
      <w:r w:rsidRPr="00AB08FC">
        <w:rPr>
          <w:rFonts w:ascii="Times New Roman" w:hAnsi="Times New Roman" w:cs="Times New Roman"/>
          <w:b/>
          <w:bCs/>
        </w:rPr>
        <w:t>JEL Classification</w:t>
      </w:r>
    </w:p>
    <w:p w:rsidR="00E33E7A" w:rsidRPr="00AB08FC" w:rsidRDefault="00E33E7A" w:rsidP="00A15675">
      <w:pPr>
        <w:spacing w:after="0" w:line="240" w:lineRule="auto"/>
        <w:jc w:val="both"/>
        <w:rPr>
          <w:rFonts w:ascii="Times New Roman" w:hAnsi="Times New Roman" w:cs="Times New Roman"/>
          <w:sz w:val="20"/>
          <w:szCs w:val="20"/>
        </w:rPr>
      </w:pPr>
      <w:r w:rsidRPr="00AB08FC">
        <w:rPr>
          <w:rFonts w:ascii="Times New Roman" w:hAnsi="Times New Roman" w:cs="Times New Roman"/>
          <w:sz w:val="20"/>
          <w:szCs w:val="20"/>
        </w:rPr>
        <w:t>M31, M37, C10</w:t>
      </w:r>
    </w:p>
    <w:p w:rsidR="00E33E7A" w:rsidRPr="00AB08FC" w:rsidRDefault="00E33E7A" w:rsidP="00A15675">
      <w:pPr>
        <w:spacing w:after="0" w:line="240" w:lineRule="auto"/>
        <w:jc w:val="both"/>
        <w:rPr>
          <w:rFonts w:ascii="Times New Roman" w:hAnsi="Times New Roman" w:cs="Times New Roman"/>
        </w:rPr>
      </w:pPr>
    </w:p>
    <w:p w:rsidR="00E33E7A" w:rsidRPr="00AB08FC" w:rsidRDefault="00E33E7A" w:rsidP="00A15675">
      <w:pPr>
        <w:spacing w:after="0" w:line="240" w:lineRule="auto"/>
        <w:jc w:val="both"/>
        <w:rPr>
          <w:rFonts w:ascii="Times New Roman" w:hAnsi="Times New Roman" w:cs="Times New Roman"/>
        </w:rPr>
      </w:pPr>
    </w:p>
    <w:p w:rsidR="00E33E7A" w:rsidRPr="00AB08FC" w:rsidRDefault="00E33E7A" w:rsidP="00A15675">
      <w:pPr>
        <w:spacing w:after="0" w:line="240" w:lineRule="auto"/>
        <w:jc w:val="both"/>
        <w:rPr>
          <w:rFonts w:ascii="Times New Roman" w:hAnsi="Times New Roman" w:cs="Times New Roman"/>
        </w:rPr>
      </w:pPr>
    </w:p>
    <w:p w:rsidR="00E33E7A" w:rsidRPr="00AB08FC" w:rsidRDefault="00E33E7A" w:rsidP="00C41349">
      <w:pPr>
        <w:shd w:val="clear" w:color="auto" w:fill="FFFFFF"/>
        <w:spacing w:after="0" w:line="225" w:lineRule="atLeast"/>
        <w:jc w:val="both"/>
        <w:textAlignment w:val="baseline"/>
        <w:rPr>
          <w:rFonts w:ascii="Times New Roman" w:hAnsi="Times New Roman" w:cs="Times New Roman"/>
          <w:b/>
          <w:bCs/>
        </w:rPr>
      </w:pPr>
      <w:r w:rsidRPr="00AB08FC">
        <w:rPr>
          <w:rFonts w:ascii="Times New Roman" w:hAnsi="Times New Roman" w:cs="Times New Roman"/>
          <w:b/>
          <w:bCs/>
        </w:rPr>
        <w:t>Highlights on the size of the global advertising market</w:t>
      </w:r>
    </w:p>
    <w:p w:rsidR="00E33E7A" w:rsidRPr="00AB08FC" w:rsidRDefault="00E33E7A" w:rsidP="00AB08FC">
      <w:pPr>
        <w:shd w:val="clear" w:color="auto" w:fill="FFFFFF"/>
        <w:spacing w:after="0" w:line="225" w:lineRule="atLeast"/>
        <w:jc w:val="both"/>
        <w:textAlignment w:val="baseline"/>
        <w:rPr>
          <w:rFonts w:ascii="Times New Roman" w:hAnsi="Times New Roman" w:cs="Times New Roman"/>
          <w:sz w:val="20"/>
          <w:szCs w:val="20"/>
          <w:shd w:val="clear" w:color="auto" w:fill="FFFFFF"/>
        </w:rPr>
      </w:pPr>
      <w:r w:rsidRPr="00AB08FC">
        <w:rPr>
          <w:rFonts w:ascii="Times New Roman" w:hAnsi="Times New Roman" w:cs="Times New Roman"/>
          <w:sz w:val="20"/>
          <w:szCs w:val="20"/>
          <w:shd w:val="clear" w:color="auto" w:fill="FFFFFF"/>
        </w:rPr>
        <w:t>The emergence and development of advertising is strictly related to market developments, increased competition, increased and diversified consumer demands. Thus, in the context of general economic development, the advertising market has evolved to reach impressive dimensions. For example, in 2015, according to Statista, Inc. (2017), the global advertising market expressed in global advertising spending amounted 513.56 billion US Dollars, with an ascending trend, from 412.54 billion US Dollars in 2010 (which represents an annual average increase of about 4.5%).</w:t>
      </w:r>
    </w:p>
    <w:p w:rsidR="00E33E7A" w:rsidRPr="00AB08FC" w:rsidRDefault="00E33E7A" w:rsidP="00AB08FC">
      <w:pPr>
        <w:shd w:val="clear" w:color="auto" w:fill="FFFFFF"/>
        <w:spacing w:after="0" w:line="225" w:lineRule="atLeast"/>
        <w:jc w:val="both"/>
        <w:textAlignment w:val="baseline"/>
        <w:rPr>
          <w:rFonts w:ascii="Times New Roman" w:hAnsi="Times New Roman" w:cs="Times New Roman"/>
          <w:sz w:val="20"/>
          <w:szCs w:val="20"/>
          <w:shd w:val="clear" w:color="auto" w:fill="FFFFFF"/>
        </w:rPr>
      </w:pPr>
      <w:r w:rsidRPr="00AB08FC">
        <w:rPr>
          <w:rFonts w:ascii="Times New Roman" w:hAnsi="Times New Roman" w:cs="Times New Roman"/>
          <w:sz w:val="20"/>
          <w:szCs w:val="20"/>
          <w:shd w:val="clear" w:color="auto" w:fill="FFFFFF"/>
        </w:rPr>
        <w:t>According to estimates for the coming years (eMarketer, 2016), the advertising market will continue the upward trend, with total advertising spending for 2020 being valued at over 720 billion US Dollars.</w:t>
      </w:r>
    </w:p>
    <w:p w:rsidR="00E33E7A" w:rsidRDefault="00E33E7A" w:rsidP="00AB08FC">
      <w:pPr>
        <w:shd w:val="clear" w:color="auto" w:fill="FFFFFF"/>
        <w:spacing w:after="0" w:line="225" w:lineRule="atLeast"/>
        <w:jc w:val="both"/>
        <w:textAlignment w:val="baseline"/>
        <w:rPr>
          <w:rFonts w:ascii="Times New Roman" w:hAnsi="Times New Roman" w:cs="Times New Roman"/>
          <w:sz w:val="20"/>
          <w:szCs w:val="20"/>
          <w:shd w:val="clear" w:color="auto" w:fill="FFFFFF"/>
        </w:rPr>
      </w:pPr>
      <w:r w:rsidRPr="00AB08FC">
        <w:rPr>
          <w:rFonts w:ascii="Times New Roman" w:hAnsi="Times New Roman" w:cs="Times New Roman"/>
          <w:sz w:val="20"/>
          <w:szCs w:val="20"/>
          <w:shd w:val="clear" w:color="auto" w:fill="FFFFFF"/>
        </w:rPr>
        <w:t>The largest advertising markets in the world, according to estimates for 2016 (Statista, Inc., 2017) are: United States, China, Japan, United Kingdom, Germany, Brazil, South Kore</w:t>
      </w:r>
      <w:r>
        <w:rPr>
          <w:rFonts w:ascii="Times New Roman" w:hAnsi="Times New Roman" w:cs="Times New Roman"/>
          <w:sz w:val="20"/>
          <w:szCs w:val="20"/>
          <w:shd w:val="clear" w:color="auto" w:fill="FFFFFF"/>
        </w:rPr>
        <w:t>a, France, Australia and Canada, g</w:t>
      </w:r>
      <w:r w:rsidRPr="00AB08FC">
        <w:rPr>
          <w:rFonts w:ascii="Times New Roman" w:hAnsi="Times New Roman" w:cs="Times New Roman"/>
          <w:sz w:val="20"/>
          <w:szCs w:val="20"/>
          <w:shd w:val="clear" w:color="auto" w:fill="FFFFFF"/>
        </w:rPr>
        <w:t>lobal ad market being estimated at 537 billion US dollars. (Table 1)</w:t>
      </w:r>
    </w:p>
    <w:p w:rsidR="00E33E7A"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p>
    <w:p w:rsidR="00E33E7A"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p>
    <w:p w:rsidR="00E33E7A"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p>
    <w:p w:rsidR="00E33E7A"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p>
    <w:p w:rsidR="00E33E7A"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p>
    <w:p w:rsidR="00E33E7A" w:rsidRPr="00AB08FC"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p>
    <w:p w:rsidR="00E33E7A" w:rsidRDefault="00E33E7A" w:rsidP="00245547">
      <w:pPr>
        <w:shd w:val="clear" w:color="auto" w:fill="FFFFFF"/>
        <w:spacing w:after="0" w:line="225" w:lineRule="atLeast"/>
        <w:jc w:val="center"/>
        <w:textAlignment w:val="baseline"/>
        <w:rPr>
          <w:rFonts w:ascii="Times New Roman" w:hAnsi="Times New Roman" w:cs="Times New Roman"/>
          <w:b/>
          <w:bCs/>
          <w:sz w:val="20"/>
          <w:szCs w:val="20"/>
          <w:shd w:val="clear" w:color="auto" w:fill="FFFFFF"/>
        </w:rPr>
      </w:pPr>
      <w:r w:rsidRPr="00290B9F">
        <w:rPr>
          <w:rFonts w:ascii="Times New Roman" w:hAnsi="Times New Roman" w:cs="Times New Roman"/>
          <w:b/>
          <w:bCs/>
          <w:sz w:val="20"/>
          <w:szCs w:val="20"/>
          <w:shd w:val="clear" w:color="auto" w:fill="FFFFFF"/>
        </w:rPr>
        <w:t xml:space="preserve">Table 1. </w:t>
      </w:r>
      <w:r>
        <w:rPr>
          <w:rFonts w:ascii="Times New Roman" w:hAnsi="Times New Roman" w:cs="Times New Roman"/>
          <w:b/>
          <w:bCs/>
          <w:sz w:val="20"/>
          <w:szCs w:val="20"/>
          <w:shd w:val="clear" w:color="auto" w:fill="FFFFFF"/>
        </w:rPr>
        <w:t>W</w:t>
      </w:r>
      <w:r w:rsidRPr="00290B9F">
        <w:rPr>
          <w:rFonts w:ascii="Times New Roman" w:hAnsi="Times New Roman" w:cs="Times New Roman"/>
          <w:b/>
          <w:bCs/>
          <w:sz w:val="20"/>
          <w:szCs w:val="20"/>
          <w:shd w:val="clear" w:color="auto" w:fill="FFFFFF"/>
        </w:rPr>
        <w:t>orld's largest advertising markets in 2016</w:t>
      </w:r>
    </w:p>
    <w:p w:rsidR="00E33E7A" w:rsidRPr="00AB08FC" w:rsidRDefault="00E33E7A" w:rsidP="00245547">
      <w:pPr>
        <w:shd w:val="clear" w:color="auto" w:fill="FFFFFF"/>
        <w:spacing w:after="0" w:line="225" w:lineRule="atLeast"/>
        <w:jc w:val="center"/>
        <w:textAlignment w:val="baseline"/>
        <w:rPr>
          <w:rFonts w:ascii="Times New Roman" w:hAnsi="Times New Roman" w:cs="Times New Roman"/>
          <w:b/>
          <w:bCs/>
          <w:sz w:val="20"/>
          <w:szCs w:val="20"/>
          <w:shd w:val="clear" w:color="auto" w:fill="FFFFFF"/>
        </w:rPr>
      </w:pPr>
    </w:p>
    <w:tbl>
      <w:tblPr>
        <w:tblW w:w="7069" w:type="dxa"/>
        <w:jc w:val="center"/>
        <w:tblLook w:val="0000"/>
      </w:tblPr>
      <w:tblGrid>
        <w:gridCol w:w="1654"/>
        <w:gridCol w:w="1887"/>
        <w:gridCol w:w="385"/>
        <w:gridCol w:w="1408"/>
        <w:gridCol w:w="1735"/>
      </w:tblGrid>
      <w:tr w:rsidR="00E33E7A" w:rsidRPr="00AB08FC">
        <w:trPr>
          <w:trHeight w:val="255"/>
          <w:jc w:val="center"/>
        </w:trPr>
        <w:tc>
          <w:tcPr>
            <w:tcW w:w="1654" w:type="dxa"/>
            <w:tcBorders>
              <w:top w:val="single" w:sz="4" w:space="0" w:color="auto"/>
              <w:left w:val="single" w:sz="4" w:space="0" w:color="auto"/>
              <w:bottom w:val="single" w:sz="4" w:space="0" w:color="auto"/>
              <w:right w:val="single" w:sz="4" w:space="0" w:color="auto"/>
            </w:tcBorders>
            <w:noWrap/>
            <w:vAlign w:val="center"/>
          </w:tcPr>
          <w:p w:rsidR="00E33E7A" w:rsidRPr="00AB08FC" w:rsidRDefault="00E33E7A" w:rsidP="00243E56">
            <w:pPr>
              <w:spacing w:after="0" w:line="240" w:lineRule="auto"/>
              <w:jc w:val="center"/>
              <w:rPr>
                <w:rFonts w:ascii="Times New Roman" w:hAnsi="Times New Roman" w:cs="Times New Roman"/>
                <w:b/>
                <w:bCs/>
                <w:sz w:val="18"/>
                <w:szCs w:val="18"/>
              </w:rPr>
            </w:pPr>
            <w:r w:rsidRPr="00AB08FC">
              <w:rPr>
                <w:rFonts w:ascii="Times New Roman" w:hAnsi="Times New Roman" w:cs="Times New Roman"/>
                <w:b/>
                <w:bCs/>
                <w:sz w:val="18"/>
                <w:szCs w:val="18"/>
              </w:rPr>
              <w:t>Country</w:t>
            </w:r>
          </w:p>
        </w:tc>
        <w:tc>
          <w:tcPr>
            <w:tcW w:w="1887" w:type="dxa"/>
            <w:tcBorders>
              <w:top w:val="single" w:sz="4" w:space="0" w:color="auto"/>
              <w:left w:val="single" w:sz="4" w:space="0" w:color="auto"/>
              <w:bottom w:val="single" w:sz="4" w:space="0" w:color="auto"/>
              <w:right w:val="single" w:sz="4" w:space="0" w:color="auto"/>
            </w:tcBorders>
            <w:noWrap/>
            <w:vAlign w:val="center"/>
          </w:tcPr>
          <w:p w:rsidR="00E33E7A" w:rsidRPr="00AB08FC" w:rsidRDefault="00E33E7A" w:rsidP="00243E56">
            <w:pPr>
              <w:spacing w:after="0" w:line="240" w:lineRule="auto"/>
              <w:jc w:val="center"/>
              <w:rPr>
                <w:rFonts w:ascii="Times New Roman" w:hAnsi="Times New Roman" w:cs="Times New Roman"/>
                <w:b/>
                <w:bCs/>
                <w:sz w:val="18"/>
                <w:szCs w:val="18"/>
              </w:rPr>
            </w:pPr>
            <w:r w:rsidRPr="00AB08FC">
              <w:rPr>
                <w:rFonts w:ascii="Times New Roman" w:hAnsi="Times New Roman" w:cs="Times New Roman"/>
                <w:b/>
                <w:bCs/>
                <w:sz w:val="18"/>
                <w:szCs w:val="18"/>
                <w:shd w:val="clear" w:color="auto" w:fill="FFFFFF"/>
              </w:rPr>
              <w:t>Advertising expenditure for 2016– estimated values (billion U.S.)</w:t>
            </w:r>
          </w:p>
        </w:tc>
        <w:tc>
          <w:tcPr>
            <w:tcW w:w="385" w:type="dxa"/>
            <w:tcBorders>
              <w:left w:val="single" w:sz="4" w:space="0" w:color="auto"/>
              <w:right w:val="single" w:sz="4" w:space="0" w:color="auto"/>
            </w:tcBorders>
            <w:vAlign w:val="center"/>
          </w:tcPr>
          <w:p w:rsidR="00E33E7A" w:rsidRPr="00AB08FC" w:rsidRDefault="00E33E7A" w:rsidP="00243E56">
            <w:pPr>
              <w:spacing w:after="0" w:line="240" w:lineRule="auto"/>
              <w:jc w:val="center"/>
              <w:rPr>
                <w:rFonts w:ascii="Times New Roman" w:hAnsi="Times New Roman" w:cs="Times New Roman"/>
                <w:b/>
                <w:bCs/>
                <w:sz w:val="18"/>
                <w:szCs w:val="18"/>
                <w:shd w:val="clear" w:color="auto" w:fill="FFFFFF"/>
              </w:rPr>
            </w:pPr>
          </w:p>
        </w:tc>
        <w:tc>
          <w:tcPr>
            <w:tcW w:w="1408" w:type="dxa"/>
            <w:tcBorders>
              <w:top w:val="single" w:sz="4" w:space="0" w:color="auto"/>
              <w:left w:val="single" w:sz="4" w:space="0" w:color="auto"/>
              <w:bottom w:val="single" w:sz="4" w:space="0" w:color="auto"/>
              <w:right w:val="single" w:sz="4" w:space="0" w:color="auto"/>
            </w:tcBorders>
            <w:vAlign w:val="center"/>
          </w:tcPr>
          <w:p w:rsidR="00E33E7A" w:rsidRPr="00AB08FC" w:rsidRDefault="00E33E7A" w:rsidP="00243E56">
            <w:pPr>
              <w:spacing w:after="0" w:line="240" w:lineRule="auto"/>
              <w:jc w:val="center"/>
              <w:rPr>
                <w:rFonts w:ascii="Times New Roman" w:hAnsi="Times New Roman" w:cs="Times New Roman"/>
                <w:b/>
                <w:bCs/>
                <w:sz w:val="18"/>
                <w:szCs w:val="18"/>
              </w:rPr>
            </w:pPr>
            <w:r w:rsidRPr="00AB08FC">
              <w:rPr>
                <w:rFonts w:ascii="Times New Roman" w:hAnsi="Times New Roman" w:cs="Times New Roman"/>
                <w:b/>
                <w:bCs/>
                <w:sz w:val="18"/>
                <w:szCs w:val="18"/>
              </w:rPr>
              <w:t>Country</w:t>
            </w:r>
          </w:p>
        </w:tc>
        <w:tc>
          <w:tcPr>
            <w:tcW w:w="1735" w:type="dxa"/>
            <w:tcBorders>
              <w:top w:val="single" w:sz="4" w:space="0" w:color="auto"/>
              <w:left w:val="single" w:sz="4" w:space="0" w:color="auto"/>
              <w:bottom w:val="single" w:sz="4" w:space="0" w:color="auto"/>
              <w:right w:val="single" w:sz="4" w:space="0" w:color="auto"/>
            </w:tcBorders>
            <w:vAlign w:val="center"/>
          </w:tcPr>
          <w:p w:rsidR="00E33E7A" w:rsidRPr="00AB08FC" w:rsidRDefault="00E33E7A" w:rsidP="00243E56">
            <w:pPr>
              <w:spacing w:after="0" w:line="240" w:lineRule="auto"/>
              <w:jc w:val="center"/>
              <w:rPr>
                <w:rFonts w:ascii="Times New Roman" w:hAnsi="Times New Roman" w:cs="Times New Roman"/>
                <w:b/>
                <w:bCs/>
                <w:sz w:val="18"/>
                <w:szCs w:val="18"/>
              </w:rPr>
            </w:pPr>
            <w:r w:rsidRPr="00AB08FC">
              <w:rPr>
                <w:rFonts w:ascii="Times New Roman" w:hAnsi="Times New Roman" w:cs="Times New Roman"/>
                <w:b/>
                <w:bCs/>
                <w:sz w:val="18"/>
                <w:szCs w:val="18"/>
                <w:shd w:val="clear" w:color="auto" w:fill="FFFFFF"/>
              </w:rPr>
              <w:t>Advertising expenditure for 2016– estimated values (billion U.S.)</w:t>
            </w:r>
          </w:p>
        </w:tc>
      </w:tr>
      <w:tr w:rsidR="00E33E7A" w:rsidRPr="00AB08FC">
        <w:trPr>
          <w:trHeight w:val="161"/>
          <w:jc w:val="center"/>
        </w:trPr>
        <w:tc>
          <w:tcPr>
            <w:tcW w:w="1654"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1. United States</w:t>
            </w:r>
          </w:p>
        </w:tc>
        <w:tc>
          <w:tcPr>
            <w:tcW w:w="1887" w:type="dxa"/>
            <w:tcBorders>
              <w:top w:val="single" w:sz="4" w:space="0" w:color="auto"/>
              <w:left w:val="single" w:sz="4" w:space="0" w:color="auto"/>
              <w:bottom w:val="single" w:sz="4" w:space="0" w:color="auto"/>
              <w:right w:val="single" w:sz="4" w:space="0" w:color="auto"/>
            </w:tcBorders>
            <w:noWrap/>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190.84</w:t>
            </w:r>
          </w:p>
        </w:tc>
        <w:tc>
          <w:tcPr>
            <w:tcW w:w="385" w:type="dxa"/>
            <w:tcBorders>
              <w:left w:val="single" w:sz="4" w:space="0" w:color="auto"/>
              <w:right w:val="single" w:sz="4" w:space="0" w:color="auto"/>
            </w:tcBorders>
          </w:tcPr>
          <w:p w:rsidR="00E33E7A" w:rsidRPr="00AB08FC" w:rsidRDefault="00E33E7A" w:rsidP="00243E56">
            <w:pPr>
              <w:spacing w:after="0" w:line="240" w:lineRule="auto"/>
              <w:jc w:val="right"/>
              <w:rPr>
                <w:rFonts w:ascii="Times New Roman" w:hAnsi="Times New Roman" w:cs="Times New Roman"/>
                <w:sz w:val="18"/>
                <w:szCs w:val="18"/>
              </w:rPr>
            </w:pPr>
          </w:p>
        </w:tc>
        <w:tc>
          <w:tcPr>
            <w:tcW w:w="1408"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6. Brazil</w:t>
            </w:r>
          </w:p>
        </w:tc>
        <w:tc>
          <w:tcPr>
            <w:tcW w:w="1735"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13.20</w:t>
            </w:r>
          </w:p>
        </w:tc>
      </w:tr>
      <w:tr w:rsidR="00E33E7A" w:rsidRPr="00AB08FC">
        <w:trPr>
          <w:trHeight w:val="107"/>
          <w:jc w:val="center"/>
        </w:trPr>
        <w:tc>
          <w:tcPr>
            <w:tcW w:w="1654"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2. China</w:t>
            </w:r>
          </w:p>
        </w:tc>
        <w:tc>
          <w:tcPr>
            <w:tcW w:w="1887" w:type="dxa"/>
            <w:tcBorders>
              <w:top w:val="single" w:sz="4" w:space="0" w:color="auto"/>
              <w:left w:val="single" w:sz="4" w:space="0" w:color="auto"/>
              <w:bottom w:val="single" w:sz="4" w:space="0" w:color="auto"/>
              <w:right w:val="single" w:sz="4" w:space="0" w:color="auto"/>
            </w:tcBorders>
            <w:noWrap/>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80.24</w:t>
            </w:r>
          </w:p>
        </w:tc>
        <w:tc>
          <w:tcPr>
            <w:tcW w:w="385" w:type="dxa"/>
            <w:tcBorders>
              <w:left w:val="single" w:sz="4" w:space="0" w:color="auto"/>
              <w:right w:val="single" w:sz="4" w:space="0" w:color="auto"/>
            </w:tcBorders>
          </w:tcPr>
          <w:p w:rsidR="00E33E7A" w:rsidRPr="00AB08FC" w:rsidRDefault="00E33E7A" w:rsidP="00243E56">
            <w:pPr>
              <w:spacing w:after="0" w:line="240" w:lineRule="auto"/>
              <w:jc w:val="right"/>
              <w:rPr>
                <w:rFonts w:ascii="Times New Roman" w:hAnsi="Times New Roman" w:cs="Times New Roman"/>
                <w:sz w:val="18"/>
                <w:szCs w:val="18"/>
              </w:rPr>
            </w:pPr>
          </w:p>
        </w:tc>
        <w:tc>
          <w:tcPr>
            <w:tcW w:w="1408"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7. South Korea</w:t>
            </w:r>
          </w:p>
        </w:tc>
        <w:tc>
          <w:tcPr>
            <w:tcW w:w="1735"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11.56</w:t>
            </w:r>
          </w:p>
        </w:tc>
      </w:tr>
      <w:tr w:rsidR="00E33E7A" w:rsidRPr="00AB08FC">
        <w:trPr>
          <w:trHeight w:val="50"/>
          <w:jc w:val="center"/>
        </w:trPr>
        <w:tc>
          <w:tcPr>
            <w:tcW w:w="1654"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3. Japan</w:t>
            </w:r>
          </w:p>
        </w:tc>
        <w:tc>
          <w:tcPr>
            <w:tcW w:w="1887" w:type="dxa"/>
            <w:tcBorders>
              <w:top w:val="single" w:sz="4" w:space="0" w:color="auto"/>
              <w:left w:val="single" w:sz="4" w:space="0" w:color="auto"/>
              <w:bottom w:val="single" w:sz="4" w:space="0" w:color="auto"/>
              <w:right w:val="single" w:sz="4" w:space="0" w:color="auto"/>
            </w:tcBorders>
            <w:noWrap/>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37.68</w:t>
            </w:r>
          </w:p>
        </w:tc>
        <w:tc>
          <w:tcPr>
            <w:tcW w:w="385" w:type="dxa"/>
            <w:tcBorders>
              <w:left w:val="single" w:sz="4" w:space="0" w:color="auto"/>
              <w:right w:val="single" w:sz="4" w:space="0" w:color="auto"/>
            </w:tcBorders>
          </w:tcPr>
          <w:p w:rsidR="00E33E7A" w:rsidRPr="00AB08FC" w:rsidRDefault="00E33E7A" w:rsidP="00243E56">
            <w:pPr>
              <w:spacing w:after="0" w:line="240" w:lineRule="auto"/>
              <w:jc w:val="right"/>
              <w:rPr>
                <w:rFonts w:ascii="Times New Roman" w:hAnsi="Times New Roman" w:cs="Times New Roman"/>
                <w:sz w:val="18"/>
                <w:szCs w:val="18"/>
              </w:rPr>
            </w:pPr>
          </w:p>
        </w:tc>
        <w:tc>
          <w:tcPr>
            <w:tcW w:w="1408"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8. France</w:t>
            </w:r>
          </w:p>
        </w:tc>
        <w:tc>
          <w:tcPr>
            <w:tcW w:w="1735"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11.46</w:t>
            </w:r>
          </w:p>
        </w:tc>
      </w:tr>
      <w:tr w:rsidR="00E33E7A" w:rsidRPr="00AB08FC">
        <w:trPr>
          <w:trHeight w:val="161"/>
          <w:jc w:val="center"/>
        </w:trPr>
        <w:tc>
          <w:tcPr>
            <w:tcW w:w="1654"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4. United Kingdom</w:t>
            </w:r>
          </w:p>
        </w:tc>
        <w:tc>
          <w:tcPr>
            <w:tcW w:w="1887" w:type="dxa"/>
            <w:tcBorders>
              <w:top w:val="single" w:sz="4" w:space="0" w:color="auto"/>
              <w:left w:val="single" w:sz="4" w:space="0" w:color="auto"/>
              <w:bottom w:val="single" w:sz="4" w:space="0" w:color="auto"/>
              <w:right w:val="single" w:sz="4" w:space="0" w:color="auto"/>
            </w:tcBorders>
            <w:noWrap/>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26.10</w:t>
            </w:r>
          </w:p>
        </w:tc>
        <w:tc>
          <w:tcPr>
            <w:tcW w:w="385" w:type="dxa"/>
            <w:tcBorders>
              <w:left w:val="single" w:sz="4" w:space="0" w:color="auto"/>
              <w:right w:val="single" w:sz="4" w:space="0" w:color="auto"/>
            </w:tcBorders>
          </w:tcPr>
          <w:p w:rsidR="00E33E7A" w:rsidRPr="00AB08FC" w:rsidRDefault="00E33E7A" w:rsidP="00243E56">
            <w:pPr>
              <w:spacing w:after="0" w:line="240" w:lineRule="auto"/>
              <w:jc w:val="right"/>
              <w:rPr>
                <w:rFonts w:ascii="Times New Roman" w:hAnsi="Times New Roman" w:cs="Times New Roman"/>
                <w:sz w:val="18"/>
                <w:szCs w:val="18"/>
              </w:rPr>
            </w:pPr>
          </w:p>
        </w:tc>
        <w:tc>
          <w:tcPr>
            <w:tcW w:w="1408"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9. Australia</w:t>
            </w:r>
          </w:p>
        </w:tc>
        <w:tc>
          <w:tcPr>
            <w:tcW w:w="1735"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11.06</w:t>
            </w:r>
          </w:p>
        </w:tc>
      </w:tr>
      <w:tr w:rsidR="00E33E7A" w:rsidRPr="00AB08FC">
        <w:trPr>
          <w:trHeight w:val="50"/>
          <w:jc w:val="center"/>
        </w:trPr>
        <w:tc>
          <w:tcPr>
            <w:tcW w:w="1654"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5. Germany</w:t>
            </w:r>
          </w:p>
        </w:tc>
        <w:tc>
          <w:tcPr>
            <w:tcW w:w="1887" w:type="dxa"/>
            <w:tcBorders>
              <w:top w:val="single" w:sz="4" w:space="0" w:color="auto"/>
              <w:left w:val="single" w:sz="4" w:space="0" w:color="auto"/>
              <w:bottom w:val="single" w:sz="4" w:space="0" w:color="auto"/>
              <w:right w:val="single" w:sz="4" w:space="0" w:color="auto"/>
            </w:tcBorders>
            <w:noWrap/>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22.07</w:t>
            </w:r>
          </w:p>
        </w:tc>
        <w:tc>
          <w:tcPr>
            <w:tcW w:w="385" w:type="dxa"/>
            <w:tcBorders>
              <w:left w:val="single" w:sz="4" w:space="0" w:color="auto"/>
              <w:right w:val="single" w:sz="4" w:space="0" w:color="auto"/>
            </w:tcBorders>
          </w:tcPr>
          <w:p w:rsidR="00E33E7A" w:rsidRPr="00AB08FC" w:rsidRDefault="00E33E7A" w:rsidP="00243E56">
            <w:pPr>
              <w:spacing w:after="0" w:line="240" w:lineRule="auto"/>
              <w:jc w:val="right"/>
              <w:rPr>
                <w:rFonts w:ascii="Times New Roman" w:hAnsi="Times New Roman" w:cs="Times New Roman"/>
                <w:sz w:val="18"/>
                <w:szCs w:val="18"/>
              </w:rPr>
            </w:pPr>
          </w:p>
        </w:tc>
        <w:tc>
          <w:tcPr>
            <w:tcW w:w="1408"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10. Canada</w:t>
            </w:r>
          </w:p>
        </w:tc>
        <w:tc>
          <w:tcPr>
            <w:tcW w:w="1735" w:type="dxa"/>
            <w:tcBorders>
              <w:top w:val="single" w:sz="4" w:space="0" w:color="auto"/>
              <w:left w:val="single" w:sz="4" w:space="0" w:color="auto"/>
              <w:bottom w:val="single" w:sz="4" w:space="0" w:color="auto"/>
              <w:right w:val="single" w:sz="4" w:space="0" w:color="auto"/>
            </w:tcBorders>
            <w:vAlign w:val="bottom"/>
          </w:tcPr>
          <w:p w:rsidR="00E33E7A" w:rsidRPr="00AB08FC" w:rsidRDefault="00E33E7A" w:rsidP="00243E56">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9.05</w:t>
            </w:r>
          </w:p>
        </w:tc>
      </w:tr>
    </w:tbl>
    <w:p w:rsidR="00E33E7A" w:rsidRPr="00AB08FC" w:rsidRDefault="00E33E7A" w:rsidP="00245547">
      <w:pPr>
        <w:shd w:val="clear" w:color="auto" w:fill="FFFFFF"/>
        <w:spacing w:after="0" w:line="225" w:lineRule="atLeast"/>
        <w:jc w:val="center"/>
        <w:textAlignment w:val="baseline"/>
        <w:rPr>
          <w:rFonts w:ascii="Times New Roman" w:hAnsi="Times New Roman" w:cs="Times New Roman"/>
          <w:sz w:val="16"/>
          <w:szCs w:val="16"/>
        </w:rPr>
      </w:pPr>
      <w:r>
        <w:rPr>
          <w:rFonts w:ascii="Times New Roman" w:hAnsi="Times New Roman" w:cs="Times New Roman"/>
          <w:sz w:val="16"/>
          <w:szCs w:val="16"/>
        </w:rPr>
        <w:t>Source</w:t>
      </w:r>
      <w:r w:rsidRPr="00AB08FC">
        <w:rPr>
          <w:rFonts w:ascii="Times New Roman" w:hAnsi="Times New Roman" w:cs="Times New Roman"/>
          <w:sz w:val="16"/>
          <w:szCs w:val="16"/>
        </w:rPr>
        <w:t xml:space="preserve">: </w:t>
      </w:r>
      <w:r w:rsidRPr="003C4A82">
        <w:rPr>
          <w:rFonts w:ascii="Times New Roman" w:hAnsi="Times New Roman" w:cs="Times New Roman"/>
          <w:i/>
          <w:iCs/>
          <w:sz w:val="16"/>
          <w:szCs w:val="16"/>
        </w:rPr>
        <w:t>Statista, Inc</w:t>
      </w:r>
      <w:r>
        <w:rPr>
          <w:rFonts w:ascii="Times New Roman" w:hAnsi="Times New Roman" w:cs="Times New Roman"/>
          <w:sz w:val="16"/>
          <w:szCs w:val="16"/>
        </w:rPr>
        <w:t>. (2017)</w:t>
      </w:r>
    </w:p>
    <w:p w:rsidR="00E33E7A" w:rsidRPr="00AB08FC"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p>
    <w:p w:rsidR="00E33E7A" w:rsidRPr="00AB08FC"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r w:rsidRPr="000B2CAA">
        <w:rPr>
          <w:rFonts w:ascii="Times New Roman" w:hAnsi="Times New Roman" w:cs="Times New Roman"/>
          <w:sz w:val="20"/>
          <w:szCs w:val="20"/>
          <w:shd w:val="clear" w:color="auto" w:fill="FFFFFF"/>
        </w:rPr>
        <w:t xml:space="preserve">In fact, the global advertising market is highly concentrated; </w:t>
      </w:r>
      <w:r>
        <w:rPr>
          <w:rFonts w:ascii="Times New Roman" w:hAnsi="Times New Roman" w:cs="Times New Roman"/>
          <w:sz w:val="20"/>
          <w:szCs w:val="20"/>
          <w:shd w:val="clear" w:color="auto" w:fill="FFFFFF"/>
        </w:rPr>
        <w:t>t</w:t>
      </w:r>
      <w:r w:rsidRPr="000B2CAA">
        <w:rPr>
          <w:rFonts w:ascii="Times New Roman" w:hAnsi="Times New Roman" w:cs="Times New Roman"/>
          <w:sz w:val="20"/>
          <w:szCs w:val="20"/>
          <w:shd w:val="clear" w:color="auto" w:fill="FFFFFF"/>
        </w:rPr>
        <w:t>he top 10 countries in the world (3 of which belong to the EU), accounting for 77% of the world's advertising market, with the rest of the countries accounting for only 23%. (Figure 1)</w:t>
      </w:r>
    </w:p>
    <w:p w:rsidR="00E33E7A" w:rsidRPr="003C4A82" w:rsidRDefault="00E33E7A" w:rsidP="003C4A82">
      <w:pPr>
        <w:shd w:val="clear" w:color="auto" w:fill="FFFFFF"/>
        <w:spacing w:after="0" w:line="225" w:lineRule="atLeast"/>
        <w:jc w:val="center"/>
        <w:textAlignment w:val="baseline"/>
        <w:rPr>
          <w:rFonts w:ascii="Times New Roman" w:hAnsi="Times New Roman" w:cs="Times New Roman"/>
          <w:b/>
          <w:bCs/>
          <w:sz w:val="20"/>
          <w:szCs w:val="20"/>
          <w:shd w:val="clear" w:color="auto" w:fill="FFFFFF"/>
        </w:rPr>
      </w:pPr>
      <w:r w:rsidRPr="007360A2">
        <w:rPr>
          <w:rFonts w:ascii="Times New Roman" w:hAnsi="Times New Roman" w:cs="Times New Roman"/>
          <w:noProof/>
          <w:sz w:val="20"/>
          <w:szCs w:val="20"/>
          <w:shd w:val="clear" w:color="auto" w:fill="FFFFFF"/>
        </w:rPr>
        <w:object w:dxaOrig="6765" w:dyaOrig="27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5pt;height:153.75pt" o:ole="">
            <v:imagedata r:id="rId7" o:title="" croptop="-12014f" cropbottom="-1032f" cropleft="-1221f" cropright="-1792f"/>
            <o:lock v:ext="edit" aspectratio="f"/>
          </v:shape>
          <o:OLEObject Type="Embed" ProgID="Excel.Chart.8" ShapeID="_x0000_i1025" DrawAspect="Content" ObjectID="_1561617758" r:id="rId8"/>
        </w:object>
      </w:r>
      <w:r w:rsidRPr="003C4A82">
        <w:rPr>
          <w:rFonts w:ascii="Times New Roman" w:hAnsi="Times New Roman" w:cs="Times New Roman"/>
          <w:b/>
          <w:bCs/>
          <w:sz w:val="20"/>
          <w:szCs w:val="20"/>
          <w:shd w:val="clear" w:color="auto" w:fill="FFFFFF"/>
        </w:rPr>
        <w:t xml:space="preserve">Figure 1. The structure of the global advertising market by country in 2016 (% in </w:t>
      </w:r>
      <w:r w:rsidRPr="003C4A82">
        <w:rPr>
          <w:rFonts w:ascii="Times New Roman" w:hAnsi="Times New Roman" w:cs="Times New Roman"/>
          <w:b/>
          <w:bCs/>
          <w:sz w:val="20"/>
          <w:szCs w:val="20"/>
        </w:rPr>
        <w:t xml:space="preserve">global </w:t>
      </w:r>
      <w:r w:rsidRPr="003C4A82">
        <w:rPr>
          <w:rStyle w:val="Strong"/>
          <w:rFonts w:ascii="Times New Roman" w:hAnsi="Times New Roman" w:cs="Times New Roman"/>
          <w:sz w:val="20"/>
          <w:szCs w:val="20"/>
          <w:bdr w:val="none" w:sz="0" w:space="0" w:color="auto" w:frame="1"/>
        </w:rPr>
        <w:t>advertising spending</w:t>
      </w:r>
      <w:r w:rsidRPr="003C4A82">
        <w:rPr>
          <w:rFonts w:ascii="Times New Roman" w:hAnsi="Times New Roman" w:cs="Times New Roman"/>
          <w:b/>
          <w:bCs/>
          <w:sz w:val="20"/>
          <w:szCs w:val="20"/>
          <w:shd w:val="clear" w:color="auto" w:fill="FFFFFF"/>
        </w:rPr>
        <w:t xml:space="preserve"> – estimated values)</w:t>
      </w:r>
    </w:p>
    <w:p w:rsidR="00E33E7A" w:rsidRPr="000B2CAA" w:rsidRDefault="00E33E7A" w:rsidP="004C6966">
      <w:pPr>
        <w:spacing w:after="0" w:line="240" w:lineRule="auto"/>
        <w:jc w:val="center"/>
        <w:rPr>
          <w:rFonts w:ascii="Times New Roman" w:hAnsi="Times New Roman" w:cs="Times New Roman"/>
          <w:sz w:val="16"/>
          <w:szCs w:val="16"/>
        </w:rPr>
      </w:pPr>
      <w:r w:rsidRPr="000B2CAA">
        <w:rPr>
          <w:rFonts w:ascii="Times New Roman" w:hAnsi="Times New Roman" w:cs="Times New Roman"/>
          <w:sz w:val="16"/>
          <w:szCs w:val="16"/>
        </w:rPr>
        <w:t>Source: personal processing from</w:t>
      </w:r>
      <w:r>
        <w:rPr>
          <w:rFonts w:ascii="Times New Roman" w:hAnsi="Times New Roman" w:cs="Times New Roman"/>
          <w:sz w:val="16"/>
          <w:szCs w:val="16"/>
        </w:rPr>
        <w:t xml:space="preserve"> </w:t>
      </w:r>
      <w:r w:rsidRPr="003C4A82">
        <w:rPr>
          <w:rFonts w:ascii="Times New Roman" w:hAnsi="Times New Roman" w:cs="Times New Roman"/>
          <w:i/>
          <w:iCs/>
          <w:sz w:val="16"/>
          <w:szCs w:val="16"/>
        </w:rPr>
        <w:t>Statista, Inc</w:t>
      </w:r>
      <w:r w:rsidRPr="000B2CAA">
        <w:rPr>
          <w:rFonts w:ascii="Times New Roman" w:hAnsi="Times New Roman" w:cs="Times New Roman"/>
          <w:sz w:val="16"/>
          <w:szCs w:val="16"/>
        </w:rPr>
        <w:t>.</w:t>
      </w:r>
      <w:r>
        <w:rPr>
          <w:rFonts w:ascii="Times New Roman" w:hAnsi="Times New Roman" w:cs="Times New Roman"/>
          <w:sz w:val="16"/>
          <w:szCs w:val="16"/>
        </w:rPr>
        <w:t xml:space="preserve"> (</w:t>
      </w:r>
      <w:r w:rsidRPr="000B2CAA">
        <w:rPr>
          <w:rFonts w:ascii="Times New Roman" w:hAnsi="Times New Roman" w:cs="Times New Roman"/>
          <w:sz w:val="16"/>
          <w:szCs w:val="16"/>
        </w:rPr>
        <w:t>2017)</w:t>
      </w:r>
    </w:p>
    <w:p w:rsidR="00E33E7A" w:rsidRPr="000B2CAA" w:rsidRDefault="00E33E7A" w:rsidP="004C6966">
      <w:pPr>
        <w:shd w:val="clear" w:color="auto" w:fill="FFFFFF"/>
        <w:spacing w:after="0" w:line="225" w:lineRule="atLeast"/>
        <w:jc w:val="center"/>
        <w:textAlignment w:val="baseline"/>
        <w:rPr>
          <w:rFonts w:ascii="Times New Roman" w:hAnsi="Times New Roman" w:cs="Times New Roman"/>
          <w:b/>
          <w:bCs/>
          <w:sz w:val="20"/>
          <w:szCs w:val="20"/>
          <w:shd w:val="clear" w:color="auto" w:fill="FFFFFF"/>
        </w:rPr>
      </w:pPr>
    </w:p>
    <w:p w:rsidR="00E33E7A" w:rsidRPr="00AB08FC" w:rsidRDefault="00E33E7A" w:rsidP="00C41349">
      <w:pPr>
        <w:shd w:val="clear" w:color="auto" w:fill="FFFFFF"/>
        <w:spacing w:after="0" w:line="225" w:lineRule="atLeast"/>
        <w:jc w:val="both"/>
        <w:textAlignment w:val="baseline"/>
        <w:rPr>
          <w:rFonts w:ascii="Times New Roman" w:hAnsi="Times New Roman" w:cs="Times New Roman"/>
          <w:sz w:val="20"/>
          <w:szCs w:val="20"/>
          <w:shd w:val="clear" w:color="auto" w:fill="FFFFFF"/>
        </w:rPr>
      </w:pPr>
      <w:r w:rsidRPr="000B2CAA">
        <w:rPr>
          <w:rFonts w:ascii="Times New Roman" w:hAnsi="Times New Roman" w:cs="Times New Roman"/>
          <w:sz w:val="20"/>
          <w:szCs w:val="20"/>
        </w:rPr>
        <w:t xml:space="preserve">Advertising </w:t>
      </w:r>
      <w:r>
        <w:rPr>
          <w:rFonts w:ascii="Times New Roman" w:hAnsi="Times New Roman" w:cs="Times New Roman"/>
          <w:sz w:val="20"/>
          <w:szCs w:val="20"/>
        </w:rPr>
        <w:t>expenditure</w:t>
      </w:r>
      <w:r w:rsidRPr="000B2CAA">
        <w:rPr>
          <w:rFonts w:ascii="Times New Roman" w:hAnsi="Times New Roman" w:cs="Times New Roman"/>
          <w:sz w:val="20"/>
          <w:szCs w:val="20"/>
        </w:rPr>
        <w:t xml:space="preserve"> are huge both at macroeconomic level (as shown in the table above) and at micro level for some of the big corporations. For example, in 2016, brands with the largest </w:t>
      </w:r>
      <w:r>
        <w:rPr>
          <w:rFonts w:ascii="Times New Roman" w:hAnsi="Times New Roman" w:cs="Times New Roman"/>
          <w:sz w:val="20"/>
          <w:szCs w:val="20"/>
        </w:rPr>
        <w:t xml:space="preserve">allocated </w:t>
      </w:r>
      <w:r w:rsidRPr="000B2CAA">
        <w:rPr>
          <w:rFonts w:ascii="Times New Roman" w:hAnsi="Times New Roman" w:cs="Times New Roman"/>
          <w:sz w:val="20"/>
          <w:szCs w:val="20"/>
        </w:rPr>
        <w:t>ad</w:t>
      </w:r>
      <w:r>
        <w:rPr>
          <w:rFonts w:ascii="Times New Roman" w:hAnsi="Times New Roman" w:cs="Times New Roman"/>
          <w:sz w:val="20"/>
          <w:szCs w:val="20"/>
        </w:rPr>
        <w:t xml:space="preserve">vertising budgets in the world </w:t>
      </w:r>
      <w:r w:rsidRPr="000B2CAA">
        <w:rPr>
          <w:rFonts w:ascii="Times New Roman" w:hAnsi="Times New Roman" w:cs="Times New Roman"/>
          <w:sz w:val="20"/>
          <w:szCs w:val="20"/>
        </w:rPr>
        <w:t xml:space="preserve">are </w:t>
      </w:r>
      <w:r>
        <w:rPr>
          <w:rFonts w:ascii="Times New Roman" w:hAnsi="Times New Roman" w:cs="Times New Roman"/>
          <w:sz w:val="20"/>
          <w:szCs w:val="20"/>
        </w:rPr>
        <w:t>shown in Table 2, their expenditure</w:t>
      </w:r>
      <w:r w:rsidRPr="000B2CAA">
        <w:rPr>
          <w:rFonts w:ascii="Times New Roman" w:hAnsi="Times New Roman" w:cs="Times New Roman"/>
          <w:sz w:val="20"/>
          <w:szCs w:val="20"/>
        </w:rPr>
        <w:t xml:space="preserve"> exceeding the value of 8 billion US dollars.</w:t>
      </w:r>
    </w:p>
    <w:p w:rsidR="00E33E7A" w:rsidRPr="00AB08FC" w:rsidRDefault="00E33E7A" w:rsidP="00887ECB">
      <w:pPr>
        <w:shd w:val="clear" w:color="auto" w:fill="FFFFFF"/>
        <w:spacing w:after="0" w:line="225" w:lineRule="atLeast"/>
        <w:jc w:val="both"/>
        <w:textAlignment w:val="baseline"/>
        <w:rPr>
          <w:rFonts w:ascii="Times New Roman" w:hAnsi="Times New Roman" w:cs="Times New Roman"/>
          <w:sz w:val="20"/>
          <w:szCs w:val="20"/>
          <w:shd w:val="clear" w:color="auto" w:fill="FFFFFF"/>
        </w:rPr>
      </w:pPr>
    </w:p>
    <w:p w:rsidR="00E33E7A" w:rsidRDefault="00E33E7A" w:rsidP="00887ECB">
      <w:pPr>
        <w:shd w:val="clear" w:color="auto" w:fill="FFFFFF"/>
        <w:spacing w:after="0" w:line="225" w:lineRule="atLeast"/>
        <w:jc w:val="center"/>
        <w:textAlignment w:val="baseline"/>
        <w:rPr>
          <w:rFonts w:ascii="Times New Roman" w:hAnsi="Times New Roman" w:cs="Times New Roman"/>
          <w:b/>
          <w:bCs/>
          <w:sz w:val="20"/>
          <w:szCs w:val="20"/>
          <w:shd w:val="clear" w:color="auto" w:fill="FFFFFF"/>
        </w:rPr>
      </w:pPr>
      <w:r w:rsidRPr="00117560">
        <w:rPr>
          <w:rFonts w:ascii="Times New Roman" w:hAnsi="Times New Roman" w:cs="Times New Roman"/>
          <w:b/>
          <w:bCs/>
          <w:sz w:val="20"/>
          <w:szCs w:val="20"/>
          <w:shd w:val="clear" w:color="auto" w:fill="FFFFFF"/>
        </w:rPr>
        <w:t>Table 2. Top of the largest advertising budgets in the world in 2016</w:t>
      </w:r>
    </w:p>
    <w:p w:rsidR="00E33E7A" w:rsidRPr="00AB08FC" w:rsidRDefault="00E33E7A" w:rsidP="00887ECB">
      <w:pPr>
        <w:shd w:val="clear" w:color="auto" w:fill="FFFFFF"/>
        <w:spacing w:after="0" w:line="225" w:lineRule="atLeast"/>
        <w:jc w:val="center"/>
        <w:textAlignment w:val="baseline"/>
        <w:rPr>
          <w:rFonts w:ascii="Times New Roman" w:hAnsi="Times New Roman" w:cs="Times New Roman"/>
          <w:b/>
          <w:bCs/>
          <w:sz w:val="20"/>
          <w:szCs w:val="20"/>
          <w:shd w:val="clear" w:color="auto" w:fill="FFFFFF"/>
        </w:rPr>
      </w:pPr>
    </w:p>
    <w:tbl>
      <w:tblPr>
        <w:tblW w:w="6770" w:type="dxa"/>
        <w:jc w:val="center"/>
        <w:tblLook w:val="0000"/>
      </w:tblPr>
      <w:tblGrid>
        <w:gridCol w:w="1641"/>
        <w:gridCol w:w="1533"/>
        <w:gridCol w:w="385"/>
        <w:gridCol w:w="1664"/>
        <w:gridCol w:w="1547"/>
      </w:tblGrid>
      <w:tr w:rsidR="00E33E7A" w:rsidRPr="000B2CAA">
        <w:trPr>
          <w:trHeight w:val="255"/>
          <w:jc w:val="center"/>
        </w:trPr>
        <w:tc>
          <w:tcPr>
            <w:tcW w:w="1641" w:type="dxa"/>
            <w:tcBorders>
              <w:top w:val="single" w:sz="4" w:space="0" w:color="auto"/>
              <w:left w:val="single" w:sz="4" w:space="0" w:color="auto"/>
              <w:bottom w:val="single" w:sz="4" w:space="0" w:color="auto"/>
              <w:right w:val="single" w:sz="4" w:space="0" w:color="auto"/>
            </w:tcBorders>
            <w:noWrap/>
            <w:vAlign w:val="center"/>
          </w:tcPr>
          <w:p w:rsidR="00E33E7A" w:rsidRPr="000B2CAA" w:rsidRDefault="00E33E7A" w:rsidP="00887ECB">
            <w:pPr>
              <w:spacing w:after="0" w:line="240" w:lineRule="auto"/>
              <w:jc w:val="center"/>
              <w:rPr>
                <w:rFonts w:ascii="Times New Roman" w:hAnsi="Times New Roman" w:cs="Times New Roman"/>
                <w:b/>
                <w:bCs/>
                <w:sz w:val="18"/>
                <w:szCs w:val="18"/>
              </w:rPr>
            </w:pPr>
            <w:r w:rsidRPr="000B2CAA">
              <w:rPr>
                <w:rFonts w:ascii="Times New Roman" w:hAnsi="Times New Roman" w:cs="Times New Roman"/>
                <w:b/>
                <w:bCs/>
                <w:sz w:val="18"/>
                <w:szCs w:val="18"/>
              </w:rPr>
              <w:t>Brand</w:t>
            </w:r>
          </w:p>
        </w:tc>
        <w:tc>
          <w:tcPr>
            <w:tcW w:w="1533" w:type="dxa"/>
            <w:tcBorders>
              <w:top w:val="single" w:sz="4" w:space="0" w:color="auto"/>
              <w:left w:val="single" w:sz="4" w:space="0" w:color="auto"/>
              <w:bottom w:val="single" w:sz="4" w:space="0" w:color="auto"/>
              <w:right w:val="single" w:sz="4" w:space="0" w:color="auto"/>
            </w:tcBorders>
            <w:noWrap/>
            <w:vAlign w:val="center"/>
          </w:tcPr>
          <w:p w:rsidR="00E33E7A" w:rsidRPr="000B2CAA" w:rsidRDefault="00E33E7A" w:rsidP="00887ECB">
            <w:pPr>
              <w:spacing w:after="0" w:line="240" w:lineRule="auto"/>
              <w:jc w:val="center"/>
              <w:rPr>
                <w:rFonts w:ascii="Times New Roman" w:hAnsi="Times New Roman" w:cs="Times New Roman"/>
                <w:b/>
                <w:bCs/>
                <w:sz w:val="18"/>
                <w:szCs w:val="18"/>
              </w:rPr>
            </w:pPr>
            <w:r w:rsidRPr="000B2CAA">
              <w:rPr>
                <w:rFonts w:ascii="Times New Roman" w:hAnsi="Times New Roman" w:cs="Times New Roman"/>
                <w:b/>
                <w:bCs/>
                <w:sz w:val="18"/>
                <w:szCs w:val="18"/>
                <w:shd w:val="clear" w:color="auto" w:fill="FFFFFF"/>
              </w:rPr>
              <w:t>Advertising budget for 2016 (billion U.S.)</w:t>
            </w:r>
          </w:p>
        </w:tc>
        <w:tc>
          <w:tcPr>
            <w:tcW w:w="385" w:type="dxa"/>
            <w:tcBorders>
              <w:left w:val="single" w:sz="4" w:space="0" w:color="auto"/>
              <w:right w:val="single" w:sz="4" w:space="0" w:color="auto"/>
            </w:tcBorders>
            <w:vAlign w:val="center"/>
          </w:tcPr>
          <w:p w:rsidR="00E33E7A" w:rsidRPr="000B2CAA" w:rsidRDefault="00E33E7A" w:rsidP="00887ECB">
            <w:pPr>
              <w:spacing w:after="0" w:line="240" w:lineRule="auto"/>
              <w:jc w:val="center"/>
              <w:rPr>
                <w:rFonts w:ascii="Times New Roman" w:hAnsi="Times New Roman" w:cs="Times New Roman"/>
                <w:b/>
                <w:bCs/>
                <w:sz w:val="18"/>
                <w:szCs w:val="18"/>
                <w:shd w:val="clear" w:color="auto" w:fill="FFFFFF"/>
              </w:rPr>
            </w:pPr>
          </w:p>
        </w:tc>
        <w:tc>
          <w:tcPr>
            <w:tcW w:w="1664" w:type="dxa"/>
            <w:tcBorders>
              <w:top w:val="single" w:sz="4" w:space="0" w:color="auto"/>
              <w:left w:val="single" w:sz="4" w:space="0" w:color="auto"/>
              <w:bottom w:val="single" w:sz="4" w:space="0" w:color="auto"/>
              <w:right w:val="single" w:sz="4" w:space="0" w:color="auto"/>
            </w:tcBorders>
            <w:vAlign w:val="center"/>
          </w:tcPr>
          <w:p w:rsidR="00E33E7A" w:rsidRPr="000B2CAA" w:rsidRDefault="00E33E7A" w:rsidP="00887ECB">
            <w:pPr>
              <w:spacing w:after="0" w:line="240" w:lineRule="auto"/>
              <w:jc w:val="center"/>
              <w:rPr>
                <w:rFonts w:ascii="Times New Roman" w:hAnsi="Times New Roman" w:cs="Times New Roman"/>
                <w:b/>
                <w:bCs/>
                <w:sz w:val="18"/>
                <w:szCs w:val="18"/>
              </w:rPr>
            </w:pPr>
            <w:r w:rsidRPr="000B2CAA">
              <w:rPr>
                <w:rFonts w:ascii="Times New Roman" w:hAnsi="Times New Roman" w:cs="Times New Roman"/>
                <w:b/>
                <w:bCs/>
                <w:sz w:val="18"/>
                <w:szCs w:val="18"/>
              </w:rPr>
              <w:t>Brand</w:t>
            </w:r>
          </w:p>
        </w:tc>
        <w:tc>
          <w:tcPr>
            <w:tcW w:w="1547" w:type="dxa"/>
            <w:tcBorders>
              <w:top w:val="single" w:sz="4" w:space="0" w:color="auto"/>
              <w:left w:val="single" w:sz="4" w:space="0" w:color="auto"/>
              <w:bottom w:val="single" w:sz="4" w:space="0" w:color="auto"/>
              <w:right w:val="single" w:sz="4" w:space="0" w:color="auto"/>
            </w:tcBorders>
            <w:vAlign w:val="center"/>
          </w:tcPr>
          <w:p w:rsidR="00E33E7A" w:rsidRPr="000B2CAA" w:rsidRDefault="00E33E7A" w:rsidP="00887ECB">
            <w:pPr>
              <w:spacing w:after="0" w:line="240" w:lineRule="auto"/>
              <w:jc w:val="center"/>
              <w:rPr>
                <w:rFonts w:ascii="Times New Roman" w:hAnsi="Times New Roman" w:cs="Times New Roman"/>
                <w:b/>
                <w:bCs/>
                <w:sz w:val="18"/>
                <w:szCs w:val="18"/>
              </w:rPr>
            </w:pPr>
            <w:r w:rsidRPr="000B2CAA">
              <w:rPr>
                <w:rFonts w:ascii="Times New Roman" w:hAnsi="Times New Roman" w:cs="Times New Roman"/>
                <w:b/>
                <w:bCs/>
                <w:sz w:val="18"/>
                <w:szCs w:val="18"/>
                <w:shd w:val="clear" w:color="auto" w:fill="FFFFFF"/>
              </w:rPr>
              <w:t>Advertising budget for 2016 (billion U.S.)</w:t>
            </w:r>
          </w:p>
        </w:tc>
      </w:tr>
      <w:tr w:rsidR="00E33E7A" w:rsidRPr="000B2CAA">
        <w:trPr>
          <w:trHeight w:val="161"/>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Pampers</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8.3</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Lexus</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3.6</w:t>
            </w:r>
          </w:p>
        </w:tc>
      </w:tr>
      <w:tr w:rsidR="00E33E7A" w:rsidRPr="000B2CAA">
        <w:trPr>
          <w:trHeight w:val="107"/>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Gillette</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8.3</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Toyota</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3.6</w:t>
            </w:r>
          </w:p>
        </w:tc>
      </w:tr>
      <w:tr w:rsidR="00E33E7A" w:rsidRPr="000B2CAA">
        <w:trPr>
          <w:trHeight w:val="50"/>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L’Oreal</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8.2</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Samsung</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3.3</w:t>
            </w:r>
          </w:p>
        </w:tc>
      </w:tr>
      <w:tr w:rsidR="00E33E7A" w:rsidRPr="000B2CAA">
        <w:trPr>
          <w:trHeight w:val="161"/>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Chevrolet</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5.1</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NIKE</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3.2</w:t>
            </w:r>
          </w:p>
        </w:tc>
      </w:tr>
      <w:tr w:rsidR="00E33E7A" w:rsidRPr="000B2CAA">
        <w:trPr>
          <w:trHeight w:val="50"/>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Louis Vuitton</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4.4</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Google</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3.2</w:t>
            </w:r>
          </w:p>
        </w:tc>
      </w:tr>
      <w:tr w:rsidR="00E33E7A" w:rsidRPr="000B2CAA">
        <w:trPr>
          <w:trHeight w:val="125"/>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 xml:space="preserve">Ford </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4.3</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American Express</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3.1</w:t>
            </w:r>
          </w:p>
        </w:tc>
      </w:tr>
      <w:tr w:rsidR="00E33E7A" w:rsidRPr="000B2CAA">
        <w:trPr>
          <w:trHeight w:val="62"/>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Coca-Cola</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4.0</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T-Mobile</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2.9</w:t>
            </w:r>
          </w:p>
        </w:tc>
      </w:tr>
      <w:tr w:rsidR="00E33E7A" w:rsidRPr="000B2CAA">
        <w:trPr>
          <w:trHeight w:val="188"/>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Amazon</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3.8</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Nissan</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2.8</w:t>
            </w:r>
          </w:p>
        </w:tc>
      </w:tr>
      <w:tr w:rsidR="00E33E7A" w:rsidRPr="000B2CAA">
        <w:trPr>
          <w:trHeight w:val="125"/>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Sony</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3.7</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Verizon</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2.7</w:t>
            </w:r>
          </w:p>
        </w:tc>
      </w:tr>
      <w:tr w:rsidR="00E33E7A" w:rsidRPr="000B2CAA">
        <w:trPr>
          <w:trHeight w:val="62"/>
          <w:jc w:val="center"/>
        </w:trPr>
        <w:tc>
          <w:tcPr>
            <w:tcW w:w="1641"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AT&amp;T</w:t>
            </w:r>
          </w:p>
        </w:tc>
        <w:tc>
          <w:tcPr>
            <w:tcW w:w="1533" w:type="dxa"/>
            <w:tcBorders>
              <w:top w:val="single" w:sz="4" w:space="0" w:color="auto"/>
              <w:left w:val="single" w:sz="4" w:space="0" w:color="auto"/>
              <w:bottom w:val="single" w:sz="4" w:space="0" w:color="auto"/>
              <w:right w:val="single" w:sz="4" w:space="0" w:color="auto"/>
            </w:tcBorders>
            <w:noWrap/>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3.6</w:t>
            </w:r>
          </w:p>
        </w:tc>
        <w:tc>
          <w:tcPr>
            <w:tcW w:w="385" w:type="dxa"/>
            <w:tcBorders>
              <w:left w:val="single" w:sz="4" w:space="0" w:color="auto"/>
              <w:right w:val="single" w:sz="4" w:space="0" w:color="auto"/>
            </w:tcBorders>
          </w:tcPr>
          <w:p w:rsidR="00E33E7A" w:rsidRPr="000B2CAA" w:rsidRDefault="00E33E7A" w:rsidP="00E56F2D">
            <w:pPr>
              <w:spacing w:after="0" w:line="240" w:lineRule="auto"/>
              <w:jc w:val="right"/>
              <w:rPr>
                <w:rFonts w:ascii="Times New Roman" w:hAnsi="Times New Roman" w:cs="Times New Roman"/>
                <w:sz w:val="18"/>
                <w:szCs w:val="18"/>
              </w:rPr>
            </w:pPr>
          </w:p>
        </w:tc>
        <w:tc>
          <w:tcPr>
            <w:tcW w:w="1664"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rPr>
                <w:rFonts w:ascii="Times New Roman" w:hAnsi="Times New Roman" w:cs="Times New Roman"/>
                <w:sz w:val="18"/>
                <w:szCs w:val="18"/>
              </w:rPr>
            </w:pPr>
            <w:r w:rsidRPr="000B2CAA">
              <w:rPr>
                <w:rFonts w:ascii="Times New Roman" w:hAnsi="Times New Roman" w:cs="Times New Roman"/>
                <w:sz w:val="18"/>
                <w:szCs w:val="18"/>
              </w:rPr>
              <w:t>Chase</w:t>
            </w:r>
          </w:p>
        </w:tc>
        <w:tc>
          <w:tcPr>
            <w:tcW w:w="1547" w:type="dxa"/>
            <w:tcBorders>
              <w:top w:val="single" w:sz="4" w:space="0" w:color="auto"/>
              <w:left w:val="single" w:sz="4" w:space="0" w:color="auto"/>
              <w:bottom w:val="single" w:sz="4" w:space="0" w:color="auto"/>
              <w:right w:val="single" w:sz="4" w:space="0" w:color="auto"/>
            </w:tcBorders>
            <w:vAlign w:val="bottom"/>
          </w:tcPr>
          <w:p w:rsidR="00E33E7A" w:rsidRPr="000B2CAA" w:rsidRDefault="00E33E7A" w:rsidP="00887ECB">
            <w:pPr>
              <w:spacing w:after="0" w:line="240" w:lineRule="auto"/>
              <w:jc w:val="center"/>
              <w:rPr>
                <w:rFonts w:ascii="Times New Roman" w:hAnsi="Times New Roman" w:cs="Times New Roman"/>
                <w:sz w:val="18"/>
                <w:szCs w:val="18"/>
              </w:rPr>
            </w:pPr>
            <w:r w:rsidRPr="000B2CAA">
              <w:rPr>
                <w:rFonts w:ascii="Times New Roman" w:hAnsi="Times New Roman" w:cs="Times New Roman"/>
                <w:sz w:val="18"/>
                <w:szCs w:val="18"/>
              </w:rPr>
              <w:t>2.7</w:t>
            </w:r>
          </w:p>
        </w:tc>
      </w:tr>
    </w:tbl>
    <w:p w:rsidR="00E33E7A" w:rsidRPr="000B2CAA" w:rsidRDefault="00E33E7A" w:rsidP="00887ECB">
      <w:pPr>
        <w:shd w:val="clear" w:color="auto" w:fill="FFFFFF"/>
        <w:spacing w:after="0" w:line="225" w:lineRule="atLeast"/>
        <w:jc w:val="center"/>
        <w:textAlignment w:val="baseline"/>
        <w:rPr>
          <w:rFonts w:ascii="Times New Roman" w:hAnsi="Times New Roman" w:cs="Times New Roman"/>
          <w:sz w:val="16"/>
          <w:szCs w:val="16"/>
        </w:rPr>
      </w:pPr>
      <w:r w:rsidRPr="000B2CAA">
        <w:rPr>
          <w:rFonts w:ascii="Times New Roman" w:hAnsi="Times New Roman" w:cs="Times New Roman"/>
          <w:sz w:val="16"/>
          <w:szCs w:val="16"/>
        </w:rPr>
        <w:t xml:space="preserve">Sursa: </w:t>
      </w:r>
      <w:hyperlink r:id="rId9" w:history="1">
        <w:r w:rsidRPr="000B2CAA">
          <w:rPr>
            <w:rStyle w:val="Hyperlink"/>
            <w:rFonts w:ascii="Times New Roman" w:hAnsi="Times New Roman" w:cs="Times New Roman"/>
            <w:color w:val="auto"/>
            <w:sz w:val="16"/>
            <w:szCs w:val="16"/>
            <w:u w:val="none"/>
            <w:shd w:val="clear" w:color="auto" w:fill="FFFFFF"/>
          </w:rPr>
          <w:t>Wadlow</w:t>
        </w:r>
      </w:hyperlink>
      <w:r w:rsidRPr="000B2CAA">
        <w:rPr>
          <w:rFonts w:ascii="Times New Roman" w:hAnsi="Times New Roman" w:cs="Times New Roman"/>
          <w:sz w:val="16"/>
          <w:szCs w:val="16"/>
        </w:rPr>
        <w:t>, T.</w:t>
      </w:r>
      <w:r>
        <w:rPr>
          <w:rFonts w:ascii="Times New Roman" w:hAnsi="Times New Roman" w:cs="Times New Roman"/>
          <w:sz w:val="16"/>
          <w:szCs w:val="16"/>
        </w:rPr>
        <w:t xml:space="preserve"> (</w:t>
      </w:r>
      <w:r w:rsidRPr="000B2CAA">
        <w:rPr>
          <w:rFonts w:ascii="Times New Roman" w:hAnsi="Times New Roman" w:cs="Times New Roman"/>
          <w:sz w:val="16"/>
          <w:szCs w:val="16"/>
        </w:rPr>
        <w:t>2016</w:t>
      </w:r>
      <w:r>
        <w:rPr>
          <w:rFonts w:ascii="Times New Roman" w:hAnsi="Times New Roman" w:cs="Times New Roman"/>
          <w:sz w:val="16"/>
          <w:szCs w:val="16"/>
        </w:rPr>
        <w:t>)</w:t>
      </w:r>
      <w:r w:rsidRPr="000B2CAA">
        <w:rPr>
          <w:rFonts w:ascii="Times New Roman" w:hAnsi="Times New Roman" w:cs="Times New Roman"/>
          <w:sz w:val="16"/>
          <w:szCs w:val="16"/>
        </w:rPr>
        <w:t xml:space="preserve">, </w:t>
      </w:r>
      <w:r w:rsidRPr="000B2CAA">
        <w:rPr>
          <w:rFonts w:ascii="Times New Roman" w:hAnsi="Times New Roman" w:cs="Times New Roman"/>
          <w:sz w:val="16"/>
          <w:szCs w:val="16"/>
          <w:shd w:val="clear" w:color="auto" w:fill="FFFFFF"/>
        </w:rPr>
        <w:t xml:space="preserve">Top 20 companies with the biggest advertising budget, </w:t>
      </w:r>
      <w:r w:rsidRPr="000B2CAA">
        <w:rPr>
          <w:rFonts w:ascii="Times New Roman" w:hAnsi="Times New Roman" w:cs="Times New Roman"/>
          <w:i/>
          <w:iCs/>
          <w:sz w:val="16"/>
          <w:szCs w:val="16"/>
        </w:rPr>
        <w:t>Business Review Europe</w:t>
      </w:r>
    </w:p>
    <w:p w:rsidR="00E33E7A" w:rsidRDefault="00E33E7A" w:rsidP="009F7379">
      <w:pPr>
        <w:shd w:val="clear" w:color="auto" w:fill="FFFFFF"/>
        <w:spacing w:after="0" w:line="225" w:lineRule="atLeast"/>
        <w:jc w:val="both"/>
        <w:textAlignment w:val="baseline"/>
        <w:rPr>
          <w:rFonts w:ascii="Times New Roman" w:hAnsi="Times New Roman" w:cs="Times New Roman"/>
          <w:b/>
          <w:bCs/>
        </w:rPr>
      </w:pPr>
      <w:r>
        <w:rPr>
          <w:rFonts w:ascii="Times New Roman" w:hAnsi="Times New Roman" w:cs="Times New Roman"/>
          <w:b/>
          <w:bCs/>
        </w:rPr>
        <w:t>Methodological aspects</w:t>
      </w:r>
    </w:p>
    <w:p w:rsidR="00E33E7A" w:rsidRPr="009F7379" w:rsidRDefault="00E33E7A" w:rsidP="009F7379">
      <w:pPr>
        <w:shd w:val="clear" w:color="auto" w:fill="FFFFFF"/>
        <w:spacing w:after="0" w:line="225" w:lineRule="atLeast"/>
        <w:jc w:val="both"/>
        <w:textAlignment w:val="baseline"/>
        <w:rPr>
          <w:rFonts w:ascii="Times New Roman" w:hAnsi="Times New Roman" w:cs="Times New Roman"/>
          <w:sz w:val="20"/>
          <w:szCs w:val="20"/>
        </w:rPr>
      </w:pPr>
      <w:r w:rsidRPr="009F7379">
        <w:rPr>
          <w:rFonts w:ascii="Times New Roman" w:hAnsi="Times New Roman" w:cs="Times New Roman"/>
          <w:sz w:val="20"/>
          <w:szCs w:val="20"/>
        </w:rPr>
        <w:t>The aim of this paper is to highlight the evolution of the advertising market in the EU countries in recent years and also to analyze the link between the macroeconomic outcomes and the size of this market. The study is based on official statistical data, using, for their analysis, indicators for time series and for studying the links between variables.</w:t>
      </w:r>
    </w:p>
    <w:p w:rsidR="00E33E7A" w:rsidRDefault="00E33E7A" w:rsidP="00B02622">
      <w:pPr>
        <w:spacing w:after="0" w:line="240" w:lineRule="auto"/>
        <w:jc w:val="both"/>
        <w:rPr>
          <w:rFonts w:ascii="Times New Roman" w:hAnsi="Times New Roman" w:cs="Times New Roman"/>
          <w:b/>
          <w:bCs/>
        </w:rPr>
      </w:pPr>
    </w:p>
    <w:p w:rsidR="00E33E7A" w:rsidRDefault="00E33E7A" w:rsidP="00B02622">
      <w:pPr>
        <w:spacing w:after="0" w:line="240" w:lineRule="auto"/>
        <w:jc w:val="both"/>
        <w:rPr>
          <w:rFonts w:ascii="Times New Roman" w:hAnsi="Times New Roman" w:cs="Times New Roman"/>
          <w:b/>
          <w:bCs/>
        </w:rPr>
      </w:pPr>
    </w:p>
    <w:p w:rsidR="00E33E7A" w:rsidRPr="00AB08FC" w:rsidRDefault="00E33E7A" w:rsidP="00B02622">
      <w:pPr>
        <w:spacing w:after="0" w:line="240" w:lineRule="auto"/>
        <w:jc w:val="both"/>
        <w:rPr>
          <w:rFonts w:ascii="Times New Roman" w:hAnsi="Times New Roman" w:cs="Times New Roman"/>
          <w:sz w:val="20"/>
          <w:szCs w:val="20"/>
        </w:rPr>
      </w:pPr>
      <w:r w:rsidRPr="00117560">
        <w:rPr>
          <w:rFonts w:ascii="Times New Roman" w:hAnsi="Times New Roman" w:cs="Times New Roman"/>
          <w:b/>
          <w:bCs/>
        </w:rPr>
        <w:t>The size and dynamics of the EU-wide advertising market</w:t>
      </w:r>
    </w:p>
    <w:p w:rsidR="00E33E7A" w:rsidRPr="00117560" w:rsidRDefault="00E33E7A" w:rsidP="00117560">
      <w:pPr>
        <w:spacing w:after="0" w:line="240" w:lineRule="auto"/>
        <w:jc w:val="both"/>
        <w:rPr>
          <w:rFonts w:ascii="Times New Roman" w:hAnsi="Times New Roman" w:cs="Times New Roman"/>
          <w:sz w:val="20"/>
          <w:szCs w:val="20"/>
        </w:rPr>
      </w:pPr>
      <w:r w:rsidRPr="00117560">
        <w:rPr>
          <w:rFonts w:ascii="Times New Roman" w:hAnsi="Times New Roman" w:cs="Times New Roman"/>
          <w:sz w:val="20"/>
          <w:szCs w:val="20"/>
        </w:rPr>
        <w:t>For the assessment of the size and dynamics of the advertising market, was used</w:t>
      </w:r>
      <w:r>
        <w:rPr>
          <w:rFonts w:ascii="Times New Roman" w:hAnsi="Times New Roman" w:cs="Times New Roman"/>
          <w:sz w:val="20"/>
          <w:szCs w:val="20"/>
        </w:rPr>
        <w:t xml:space="preserve"> </w:t>
      </w:r>
      <w:r w:rsidRPr="00117560">
        <w:rPr>
          <w:rFonts w:ascii="Times New Roman" w:hAnsi="Times New Roman" w:cs="Times New Roman"/>
          <w:sz w:val="20"/>
          <w:szCs w:val="20"/>
        </w:rPr>
        <w:t xml:space="preserve">data </w:t>
      </w:r>
      <w:r>
        <w:rPr>
          <w:rFonts w:ascii="Times New Roman" w:hAnsi="Times New Roman" w:cs="Times New Roman"/>
          <w:sz w:val="20"/>
          <w:szCs w:val="20"/>
        </w:rPr>
        <w:t>regarding t</w:t>
      </w:r>
      <w:r w:rsidRPr="00117560">
        <w:rPr>
          <w:rFonts w:ascii="Times New Roman" w:hAnsi="Times New Roman" w:cs="Times New Roman"/>
          <w:sz w:val="20"/>
          <w:szCs w:val="20"/>
        </w:rPr>
        <w:t xml:space="preserve">urnover or gross premiums written as well as </w:t>
      </w:r>
      <w:r>
        <w:rPr>
          <w:rFonts w:ascii="Times New Roman" w:hAnsi="Times New Roman" w:cs="Times New Roman"/>
          <w:sz w:val="20"/>
          <w:szCs w:val="20"/>
        </w:rPr>
        <w:t>n</w:t>
      </w:r>
      <w:r w:rsidRPr="00117560">
        <w:rPr>
          <w:rFonts w:ascii="Times New Roman" w:hAnsi="Times New Roman" w:cs="Times New Roman"/>
          <w:sz w:val="20"/>
          <w:szCs w:val="20"/>
        </w:rPr>
        <w:t>umber of enterprises</w:t>
      </w:r>
      <w:r>
        <w:rPr>
          <w:rFonts w:ascii="Times New Roman" w:hAnsi="Times New Roman" w:cs="Times New Roman"/>
          <w:sz w:val="20"/>
          <w:szCs w:val="20"/>
        </w:rPr>
        <w:t>,</w:t>
      </w:r>
      <w:r w:rsidRPr="00117560">
        <w:rPr>
          <w:rFonts w:ascii="Times New Roman" w:hAnsi="Times New Roman" w:cs="Times New Roman"/>
          <w:sz w:val="20"/>
          <w:szCs w:val="20"/>
        </w:rPr>
        <w:t xml:space="preserve"> respectively </w:t>
      </w:r>
      <w:r>
        <w:rPr>
          <w:rFonts w:ascii="Times New Roman" w:hAnsi="Times New Roman" w:cs="Times New Roman"/>
          <w:sz w:val="20"/>
          <w:szCs w:val="20"/>
        </w:rPr>
        <w:t>n</w:t>
      </w:r>
      <w:r w:rsidRPr="00117560">
        <w:rPr>
          <w:rFonts w:ascii="Times New Roman" w:hAnsi="Times New Roman" w:cs="Times New Roman"/>
          <w:sz w:val="20"/>
          <w:szCs w:val="20"/>
        </w:rPr>
        <w:t>umber of people employed in advertising. The analysis was based on the latest official data provided by Eurostat.</w:t>
      </w:r>
    </w:p>
    <w:p w:rsidR="00E33E7A" w:rsidRPr="00AB08FC" w:rsidRDefault="00E33E7A" w:rsidP="00117560">
      <w:pPr>
        <w:spacing w:after="0" w:line="240" w:lineRule="auto"/>
        <w:jc w:val="both"/>
        <w:rPr>
          <w:rFonts w:ascii="Times New Roman" w:hAnsi="Times New Roman" w:cs="Times New Roman"/>
          <w:sz w:val="20"/>
          <w:szCs w:val="20"/>
        </w:rPr>
      </w:pPr>
      <w:r w:rsidRPr="00117560">
        <w:rPr>
          <w:rFonts w:ascii="Times New Roman" w:hAnsi="Times New Roman" w:cs="Times New Roman"/>
          <w:sz w:val="20"/>
          <w:szCs w:val="20"/>
        </w:rPr>
        <w:t xml:space="preserve">The EU-wide advertising market, expressed </w:t>
      </w:r>
      <w:r>
        <w:rPr>
          <w:rFonts w:ascii="Times New Roman" w:hAnsi="Times New Roman" w:cs="Times New Roman"/>
          <w:sz w:val="20"/>
          <w:szCs w:val="20"/>
        </w:rPr>
        <w:t>by</w:t>
      </w:r>
      <w:r w:rsidRPr="00117560">
        <w:rPr>
          <w:rFonts w:ascii="Times New Roman" w:hAnsi="Times New Roman" w:cs="Times New Roman"/>
          <w:sz w:val="20"/>
          <w:szCs w:val="20"/>
        </w:rPr>
        <w:t xml:space="preserve"> the </w:t>
      </w:r>
      <w:r>
        <w:rPr>
          <w:rFonts w:ascii="Times New Roman" w:hAnsi="Times New Roman" w:cs="Times New Roman"/>
          <w:sz w:val="20"/>
          <w:szCs w:val="20"/>
        </w:rPr>
        <w:t>t</w:t>
      </w:r>
      <w:r w:rsidRPr="00117560">
        <w:rPr>
          <w:rFonts w:ascii="Times New Roman" w:hAnsi="Times New Roman" w:cs="Times New Roman"/>
          <w:sz w:val="20"/>
          <w:szCs w:val="20"/>
        </w:rPr>
        <w:t>urnover or gross premiums written indicator, reached € 153 billion in 2015 (up 6.4% from 2011) of which almost 90% was held by the old states EU (EU-15), while the new member states (Bulgaria, Czech Republic, Romania, Slovenia, Slovakia, Poland, Hungary, Malta, Cyprus, Latvia, Lithuania, Croatia, Estonia) had just over 10%</w:t>
      </w:r>
      <w:r>
        <w:rPr>
          <w:rFonts w:ascii="Times New Roman" w:hAnsi="Times New Roman" w:cs="Times New Roman"/>
          <w:sz w:val="20"/>
          <w:szCs w:val="20"/>
        </w:rPr>
        <w:t xml:space="preserve">. In 2014 there were almost 264.000 </w:t>
      </w:r>
      <w:r w:rsidRPr="00117560">
        <w:rPr>
          <w:rFonts w:ascii="Times New Roman" w:hAnsi="Times New Roman" w:cs="Times New Roman"/>
          <w:sz w:val="20"/>
          <w:szCs w:val="20"/>
        </w:rPr>
        <w:t>operators on this market (up by about 1</w:t>
      </w:r>
      <w:r>
        <w:rPr>
          <w:rFonts w:ascii="Times New Roman" w:hAnsi="Times New Roman" w:cs="Times New Roman"/>
          <w:sz w:val="20"/>
          <w:szCs w:val="20"/>
        </w:rPr>
        <w:t xml:space="preserve">0% over 2011) and more than 967.000 </w:t>
      </w:r>
      <w:r w:rsidRPr="00117560">
        <w:rPr>
          <w:rFonts w:ascii="Times New Roman" w:hAnsi="Times New Roman" w:cs="Times New Roman"/>
          <w:sz w:val="20"/>
          <w:szCs w:val="20"/>
        </w:rPr>
        <w:t>work</w:t>
      </w:r>
      <w:r>
        <w:rPr>
          <w:rFonts w:ascii="Times New Roman" w:hAnsi="Times New Roman" w:cs="Times New Roman"/>
          <w:sz w:val="20"/>
          <w:szCs w:val="20"/>
        </w:rPr>
        <w:t>ers</w:t>
      </w:r>
      <w:r w:rsidRPr="00117560">
        <w:rPr>
          <w:rFonts w:ascii="Times New Roman" w:hAnsi="Times New Roman" w:cs="Times New Roman"/>
          <w:sz w:val="20"/>
          <w:szCs w:val="20"/>
        </w:rPr>
        <w:t xml:space="preserve"> in the field. Of the total operators registered in 2014, about 75% belonged to the old EU states (EU-15). (Table 3 and Figure 2)</w:t>
      </w:r>
    </w:p>
    <w:p w:rsidR="00E33E7A" w:rsidRPr="00AB08FC" w:rsidRDefault="00E33E7A" w:rsidP="00B02622">
      <w:pPr>
        <w:spacing w:after="0" w:line="240" w:lineRule="auto"/>
        <w:jc w:val="both"/>
        <w:rPr>
          <w:rFonts w:ascii="Times New Roman" w:hAnsi="Times New Roman" w:cs="Times New Roman"/>
          <w:sz w:val="20"/>
          <w:szCs w:val="20"/>
        </w:rPr>
      </w:pPr>
    </w:p>
    <w:p w:rsidR="00E33E7A" w:rsidRDefault="00E33E7A" w:rsidP="00531D02">
      <w:pPr>
        <w:spacing w:after="0" w:line="240" w:lineRule="auto"/>
        <w:jc w:val="center"/>
        <w:rPr>
          <w:rFonts w:ascii="Times New Roman" w:hAnsi="Times New Roman" w:cs="Times New Roman"/>
          <w:b/>
          <w:bCs/>
          <w:sz w:val="20"/>
          <w:szCs w:val="20"/>
        </w:rPr>
      </w:pPr>
      <w:r w:rsidRPr="00CA3E76">
        <w:rPr>
          <w:rFonts w:ascii="Times New Roman" w:hAnsi="Times New Roman" w:cs="Times New Roman"/>
          <w:b/>
          <w:bCs/>
          <w:sz w:val="20"/>
          <w:szCs w:val="20"/>
        </w:rPr>
        <w:t xml:space="preserve">Table 3. Evolution of the EU-wide advertising market, respectively old and new </w:t>
      </w:r>
      <w:r>
        <w:rPr>
          <w:rFonts w:ascii="Times New Roman" w:hAnsi="Times New Roman" w:cs="Times New Roman"/>
          <w:b/>
          <w:bCs/>
          <w:sz w:val="20"/>
          <w:szCs w:val="20"/>
        </w:rPr>
        <w:t>m</w:t>
      </w:r>
      <w:r w:rsidRPr="00CA3E76">
        <w:rPr>
          <w:rFonts w:ascii="Times New Roman" w:hAnsi="Times New Roman" w:cs="Times New Roman"/>
          <w:b/>
          <w:bCs/>
          <w:sz w:val="20"/>
          <w:szCs w:val="20"/>
        </w:rPr>
        <w:t xml:space="preserve">ember </w:t>
      </w:r>
      <w:r>
        <w:rPr>
          <w:rFonts w:ascii="Times New Roman" w:hAnsi="Times New Roman" w:cs="Times New Roman"/>
          <w:b/>
          <w:bCs/>
          <w:sz w:val="20"/>
          <w:szCs w:val="20"/>
        </w:rPr>
        <w:t>s</w:t>
      </w:r>
      <w:r w:rsidRPr="00CA3E76">
        <w:rPr>
          <w:rFonts w:ascii="Times New Roman" w:hAnsi="Times New Roman" w:cs="Times New Roman"/>
          <w:b/>
          <w:bCs/>
          <w:sz w:val="20"/>
          <w:szCs w:val="20"/>
        </w:rPr>
        <w:t xml:space="preserve">tates in terms of </w:t>
      </w:r>
      <w:r>
        <w:rPr>
          <w:rFonts w:ascii="Times New Roman" w:hAnsi="Times New Roman" w:cs="Times New Roman"/>
          <w:b/>
          <w:bCs/>
          <w:sz w:val="20"/>
          <w:szCs w:val="20"/>
        </w:rPr>
        <w:t>t</w:t>
      </w:r>
      <w:r w:rsidRPr="00CA3E76">
        <w:rPr>
          <w:rFonts w:ascii="Times New Roman" w:hAnsi="Times New Roman" w:cs="Times New Roman"/>
          <w:b/>
          <w:bCs/>
          <w:sz w:val="20"/>
          <w:szCs w:val="20"/>
        </w:rPr>
        <w:t xml:space="preserve">urnover or gross premiums written, </w:t>
      </w:r>
      <w:r>
        <w:rPr>
          <w:rFonts w:ascii="Times New Roman" w:hAnsi="Times New Roman" w:cs="Times New Roman"/>
          <w:b/>
          <w:bCs/>
          <w:sz w:val="20"/>
          <w:szCs w:val="20"/>
        </w:rPr>
        <w:t>number of enterprises and n</w:t>
      </w:r>
      <w:r w:rsidRPr="00CA3E76">
        <w:rPr>
          <w:rFonts w:ascii="Times New Roman" w:hAnsi="Times New Roman" w:cs="Times New Roman"/>
          <w:b/>
          <w:bCs/>
          <w:sz w:val="20"/>
          <w:szCs w:val="20"/>
        </w:rPr>
        <w:t>umber of persons employed</w:t>
      </w:r>
    </w:p>
    <w:p w:rsidR="00E33E7A" w:rsidRPr="00F9797F" w:rsidRDefault="00E33E7A" w:rsidP="00531D02">
      <w:pPr>
        <w:spacing w:after="0" w:line="240" w:lineRule="auto"/>
        <w:jc w:val="center"/>
        <w:rPr>
          <w:rFonts w:ascii="Times New Roman" w:hAnsi="Times New Roman" w:cs="Times New Roman"/>
          <w:b/>
          <w:bCs/>
          <w:sz w:val="20"/>
          <w:szCs w:val="20"/>
        </w:rPr>
      </w:pPr>
    </w:p>
    <w:tbl>
      <w:tblPr>
        <w:tblW w:w="7143" w:type="dxa"/>
        <w:jc w:val="center"/>
        <w:tblLook w:val="0000"/>
      </w:tblPr>
      <w:tblGrid>
        <w:gridCol w:w="936"/>
        <w:gridCol w:w="891"/>
        <w:gridCol w:w="891"/>
        <w:gridCol w:w="473"/>
        <w:gridCol w:w="756"/>
        <w:gridCol w:w="756"/>
        <w:gridCol w:w="578"/>
        <w:gridCol w:w="756"/>
        <w:gridCol w:w="756"/>
        <w:gridCol w:w="473"/>
      </w:tblGrid>
      <w:tr w:rsidR="00E33E7A" w:rsidRPr="003C4A82">
        <w:trPr>
          <w:trHeight w:val="285"/>
          <w:jc w:val="center"/>
        </w:trPr>
        <w:tc>
          <w:tcPr>
            <w:tcW w:w="936" w:type="dxa"/>
            <w:vMerge w:val="restart"/>
            <w:tcBorders>
              <w:top w:val="single" w:sz="4" w:space="0" w:color="auto"/>
              <w:left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b/>
                <w:bCs/>
                <w:sz w:val="18"/>
                <w:szCs w:val="18"/>
              </w:rPr>
            </w:pPr>
            <w:r w:rsidRPr="003C4A82">
              <w:rPr>
                <w:rFonts w:ascii="Times New Roman" w:hAnsi="Times New Roman" w:cs="Times New Roman"/>
                <w:b/>
                <w:bCs/>
                <w:sz w:val="18"/>
                <w:szCs w:val="18"/>
              </w:rPr>
              <w:t>Country groups</w:t>
            </w:r>
          </w:p>
        </w:tc>
        <w:tc>
          <w:tcPr>
            <w:tcW w:w="2132" w:type="dxa"/>
            <w:gridSpan w:val="3"/>
            <w:tcBorders>
              <w:top w:val="single" w:sz="4" w:space="0" w:color="auto"/>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b/>
                <w:bCs/>
                <w:sz w:val="18"/>
                <w:szCs w:val="18"/>
              </w:rPr>
            </w:pPr>
            <w:r w:rsidRPr="003C4A82">
              <w:rPr>
                <w:rFonts w:ascii="Times New Roman" w:hAnsi="Times New Roman" w:cs="Times New Roman"/>
                <w:b/>
                <w:bCs/>
                <w:sz w:val="18"/>
                <w:szCs w:val="18"/>
              </w:rPr>
              <w:t>Turnover or gross premiums written</w:t>
            </w:r>
          </w:p>
          <w:p w:rsidR="00E33E7A" w:rsidRPr="003C4A82" w:rsidRDefault="00E33E7A" w:rsidP="001B48E9">
            <w:pPr>
              <w:spacing w:after="0" w:line="240" w:lineRule="auto"/>
              <w:jc w:val="center"/>
              <w:rPr>
                <w:rFonts w:ascii="Times New Roman" w:hAnsi="Times New Roman" w:cs="Times New Roman"/>
                <w:b/>
                <w:bCs/>
                <w:sz w:val="18"/>
                <w:szCs w:val="18"/>
              </w:rPr>
            </w:pPr>
            <w:r w:rsidRPr="003C4A82">
              <w:rPr>
                <w:rFonts w:ascii="Times New Roman" w:hAnsi="Times New Roman" w:cs="Times New Roman"/>
                <w:b/>
                <w:bCs/>
                <w:sz w:val="18"/>
                <w:szCs w:val="18"/>
              </w:rPr>
              <w:t>(millions of €.)</w:t>
            </w:r>
          </w:p>
        </w:tc>
        <w:tc>
          <w:tcPr>
            <w:tcW w:w="2090" w:type="dxa"/>
            <w:gridSpan w:val="3"/>
            <w:tcBorders>
              <w:top w:val="single" w:sz="4" w:space="0" w:color="auto"/>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b/>
                <w:bCs/>
                <w:sz w:val="18"/>
                <w:szCs w:val="18"/>
              </w:rPr>
            </w:pPr>
            <w:r w:rsidRPr="003C4A82">
              <w:rPr>
                <w:rFonts w:ascii="Times New Roman" w:hAnsi="Times New Roman" w:cs="Times New Roman"/>
                <w:b/>
                <w:bCs/>
                <w:sz w:val="18"/>
                <w:szCs w:val="18"/>
              </w:rPr>
              <w:t>Number of enterprises</w:t>
            </w:r>
          </w:p>
          <w:p w:rsidR="00E33E7A" w:rsidRPr="003C4A82" w:rsidRDefault="00E33E7A" w:rsidP="001B48E9">
            <w:pPr>
              <w:spacing w:after="0" w:line="240" w:lineRule="auto"/>
              <w:jc w:val="center"/>
              <w:rPr>
                <w:rFonts w:ascii="Times New Roman" w:hAnsi="Times New Roman" w:cs="Times New Roman"/>
                <w:b/>
                <w:bCs/>
                <w:sz w:val="18"/>
                <w:szCs w:val="18"/>
              </w:rPr>
            </w:pPr>
            <w:r w:rsidRPr="003C4A82">
              <w:rPr>
                <w:rFonts w:ascii="Times New Roman" w:hAnsi="Times New Roman" w:cs="Times New Roman"/>
                <w:b/>
                <w:bCs/>
                <w:sz w:val="18"/>
                <w:szCs w:val="18"/>
              </w:rPr>
              <w:t>(enterprises)</w:t>
            </w:r>
          </w:p>
        </w:tc>
        <w:tc>
          <w:tcPr>
            <w:tcW w:w="1985" w:type="dxa"/>
            <w:gridSpan w:val="3"/>
            <w:tcBorders>
              <w:top w:val="single" w:sz="4" w:space="0" w:color="auto"/>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b/>
                <w:bCs/>
                <w:sz w:val="18"/>
                <w:szCs w:val="18"/>
              </w:rPr>
            </w:pPr>
            <w:r w:rsidRPr="003C4A82">
              <w:rPr>
                <w:rFonts w:ascii="Times New Roman" w:hAnsi="Times New Roman" w:cs="Times New Roman"/>
                <w:b/>
                <w:bCs/>
                <w:sz w:val="18"/>
                <w:szCs w:val="18"/>
              </w:rPr>
              <w:t>Number of persons employed</w:t>
            </w:r>
          </w:p>
          <w:p w:rsidR="00E33E7A" w:rsidRPr="003C4A82" w:rsidRDefault="00E33E7A" w:rsidP="001B48E9">
            <w:pPr>
              <w:spacing w:after="0" w:line="240" w:lineRule="auto"/>
              <w:jc w:val="center"/>
              <w:rPr>
                <w:rFonts w:ascii="Times New Roman" w:hAnsi="Times New Roman" w:cs="Times New Roman"/>
                <w:b/>
                <w:bCs/>
                <w:sz w:val="18"/>
                <w:szCs w:val="18"/>
              </w:rPr>
            </w:pPr>
            <w:r w:rsidRPr="003C4A82">
              <w:rPr>
                <w:rFonts w:ascii="Times New Roman" w:hAnsi="Times New Roman" w:cs="Times New Roman"/>
                <w:b/>
                <w:bCs/>
                <w:sz w:val="18"/>
                <w:szCs w:val="18"/>
              </w:rPr>
              <w:t>(persons)</w:t>
            </w:r>
          </w:p>
        </w:tc>
      </w:tr>
      <w:tr w:rsidR="00E33E7A" w:rsidRPr="00C528F6">
        <w:trPr>
          <w:cantSplit/>
          <w:trHeight w:val="1682"/>
          <w:jc w:val="center"/>
        </w:trPr>
        <w:tc>
          <w:tcPr>
            <w:tcW w:w="936" w:type="dxa"/>
            <w:vMerge/>
            <w:tcBorders>
              <w:left w:val="single" w:sz="4" w:space="0" w:color="auto"/>
              <w:bottom w:val="single" w:sz="4" w:space="0" w:color="auto"/>
              <w:right w:val="single" w:sz="4" w:space="0" w:color="auto"/>
            </w:tcBorders>
            <w:noWrap/>
            <w:vAlign w:val="center"/>
          </w:tcPr>
          <w:p w:rsidR="00E33E7A" w:rsidRPr="00C528F6" w:rsidRDefault="00E33E7A" w:rsidP="001B48E9">
            <w:pPr>
              <w:spacing w:after="0" w:line="240" w:lineRule="auto"/>
              <w:jc w:val="center"/>
              <w:rPr>
                <w:rFonts w:ascii="Times New Roman" w:hAnsi="Times New Roman" w:cs="Times New Roman"/>
                <w:sz w:val="18"/>
                <w:szCs w:val="18"/>
              </w:rPr>
            </w:pPr>
          </w:p>
        </w:tc>
        <w:tc>
          <w:tcPr>
            <w:tcW w:w="891" w:type="dxa"/>
            <w:tcBorders>
              <w:top w:val="nil"/>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2011</w:t>
            </w:r>
          </w:p>
        </w:tc>
        <w:tc>
          <w:tcPr>
            <w:tcW w:w="768" w:type="dxa"/>
            <w:tcBorders>
              <w:top w:val="nil"/>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2015</w:t>
            </w:r>
          </w:p>
        </w:tc>
        <w:tc>
          <w:tcPr>
            <w:tcW w:w="473" w:type="dxa"/>
            <w:tcBorders>
              <w:top w:val="nil"/>
              <w:left w:val="nil"/>
              <w:bottom w:val="single" w:sz="4" w:space="0" w:color="auto"/>
              <w:right w:val="single" w:sz="4" w:space="0" w:color="auto"/>
            </w:tcBorders>
            <w:noWrap/>
            <w:textDirection w:val="btLr"/>
            <w:vAlign w:val="center"/>
          </w:tcPr>
          <w:p w:rsidR="00E33E7A" w:rsidRPr="003C4A82" w:rsidRDefault="00E33E7A" w:rsidP="001B48E9">
            <w:pPr>
              <w:spacing w:after="0" w:line="240" w:lineRule="auto"/>
              <w:ind w:left="113" w:right="113"/>
              <w:jc w:val="center"/>
              <w:rPr>
                <w:rFonts w:ascii="Times New Roman" w:hAnsi="Times New Roman" w:cs="Times New Roman"/>
                <w:sz w:val="18"/>
                <w:szCs w:val="18"/>
              </w:rPr>
            </w:pPr>
            <w:r w:rsidRPr="003C4A82">
              <w:rPr>
                <w:rFonts w:ascii="Times New Roman" w:hAnsi="Times New Roman" w:cs="Times New Roman"/>
                <w:sz w:val="18"/>
                <w:szCs w:val="18"/>
              </w:rPr>
              <w:t>(+/- in % in 2015 compared to 2011</w:t>
            </w:r>
          </w:p>
        </w:tc>
        <w:tc>
          <w:tcPr>
            <w:tcW w:w="756" w:type="dxa"/>
            <w:tcBorders>
              <w:top w:val="nil"/>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2011</w:t>
            </w:r>
          </w:p>
        </w:tc>
        <w:tc>
          <w:tcPr>
            <w:tcW w:w="756" w:type="dxa"/>
            <w:tcBorders>
              <w:top w:val="nil"/>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2014</w:t>
            </w:r>
          </w:p>
        </w:tc>
        <w:tc>
          <w:tcPr>
            <w:tcW w:w="578" w:type="dxa"/>
            <w:tcBorders>
              <w:top w:val="nil"/>
              <w:left w:val="nil"/>
              <w:bottom w:val="single" w:sz="4" w:space="0" w:color="auto"/>
              <w:right w:val="single" w:sz="4" w:space="0" w:color="auto"/>
            </w:tcBorders>
            <w:noWrap/>
            <w:textDirection w:val="btLr"/>
            <w:vAlign w:val="center"/>
          </w:tcPr>
          <w:p w:rsidR="00E33E7A" w:rsidRPr="003C4A82" w:rsidRDefault="00E33E7A" w:rsidP="006932C1">
            <w:pPr>
              <w:spacing w:after="0" w:line="240" w:lineRule="auto"/>
              <w:ind w:left="113" w:right="113"/>
              <w:jc w:val="center"/>
              <w:rPr>
                <w:rFonts w:ascii="Times New Roman" w:hAnsi="Times New Roman" w:cs="Times New Roman"/>
                <w:sz w:val="18"/>
                <w:szCs w:val="18"/>
              </w:rPr>
            </w:pPr>
            <w:r w:rsidRPr="003C4A82">
              <w:rPr>
                <w:rFonts w:ascii="Times New Roman" w:hAnsi="Times New Roman" w:cs="Times New Roman"/>
                <w:sz w:val="18"/>
                <w:szCs w:val="18"/>
              </w:rPr>
              <w:t>(+/- in % in 2014 compared to 2011</w:t>
            </w:r>
          </w:p>
        </w:tc>
        <w:tc>
          <w:tcPr>
            <w:tcW w:w="756" w:type="dxa"/>
            <w:tcBorders>
              <w:top w:val="nil"/>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2011</w:t>
            </w:r>
          </w:p>
        </w:tc>
        <w:tc>
          <w:tcPr>
            <w:tcW w:w="756" w:type="dxa"/>
            <w:tcBorders>
              <w:top w:val="nil"/>
              <w:left w:val="nil"/>
              <w:bottom w:val="single" w:sz="4" w:space="0" w:color="auto"/>
              <w:right w:val="single" w:sz="4" w:space="0" w:color="auto"/>
            </w:tcBorders>
            <w:noWrap/>
            <w:vAlign w:val="center"/>
          </w:tcPr>
          <w:p w:rsidR="00E33E7A" w:rsidRPr="003C4A82" w:rsidRDefault="00E33E7A" w:rsidP="001B48E9">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2015</w:t>
            </w:r>
          </w:p>
        </w:tc>
        <w:tc>
          <w:tcPr>
            <w:tcW w:w="473" w:type="dxa"/>
            <w:tcBorders>
              <w:top w:val="nil"/>
              <w:left w:val="nil"/>
              <w:bottom w:val="single" w:sz="4" w:space="0" w:color="auto"/>
              <w:right w:val="single" w:sz="4" w:space="0" w:color="auto"/>
            </w:tcBorders>
            <w:noWrap/>
            <w:textDirection w:val="btLr"/>
            <w:vAlign w:val="center"/>
          </w:tcPr>
          <w:p w:rsidR="00E33E7A" w:rsidRPr="003C4A82" w:rsidRDefault="00E33E7A" w:rsidP="006932C1">
            <w:pPr>
              <w:spacing w:after="0" w:line="240" w:lineRule="auto"/>
              <w:ind w:left="113" w:right="113"/>
              <w:jc w:val="center"/>
              <w:rPr>
                <w:rFonts w:ascii="Times New Roman" w:hAnsi="Times New Roman" w:cs="Times New Roman"/>
                <w:sz w:val="18"/>
                <w:szCs w:val="18"/>
              </w:rPr>
            </w:pPr>
            <w:r w:rsidRPr="003C4A82">
              <w:rPr>
                <w:rFonts w:ascii="Times New Roman" w:hAnsi="Times New Roman" w:cs="Times New Roman"/>
                <w:sz w:val="18"/>
                <w:szCs w:val="18"/>
              </w:rPr>
              <w:t>(+/- in % in 2015 compared to 2011</w:t>
            </w:r>
          </w:p>
        </w:tc>
      </w:tr>
      <w:tr w:rsidR="00E33E7A" w:rsidRPr="00C528F6">
        <w:trPr>
          <w:trHeight w:val="285"/>
          <w:jc w:val="center"/>
        </w:trPr>
        <w:tc>
          <w:tcPr>
            <w:tcW w:w="936" w:type="dxa"/>
            <w:tcBorders>
              <w:top w:val="nil"/>
              <w:left w:val="single" w:sz="4" w:space="0" w:color="auto"/>
              <w:bottom w:val="single" w:sz="4" w:space="0" w:color="auto"/>
              <w:right w:val="single" w:sz="4" w:space="0" w:color="auto"/>
            </w:tcBorders>
            <w:noWrap/>
            <w:vAlign w:val="center"/>
          </w:tcPr>
          <w:p w:rsidR="00E33E7A" w:rsidRPr="00C528F6" w:rsidRDefault="00E33E7A" w:rsidP="001B48E9">
            <w:pPr>
              <w:spacing w:after="0" w:line="240" w:lineRule="auto"/>
              <w:rPr>
                <w:rFonts w:ascii="Times New Roman" w:hAnsi="Times New Roman" w:cs="Times New Roman"/>
                <w:sz w:val="18"/>
                <w:szCs w:val="18"/>
              </w:rPr>
            </w:pPr>
            <w:r w:rsidRPr="00C528F6">
              <w:rPr>
                <w:rFonts w:ascii="Times New Roman" w:hAnsi="Times New Roman" w:cs="Times New Roman"/>
                <w:sz w:val="18"/>
                <w:szCs w:val="18"/>
              </w:rPr>
              <w:t>The EU – 15</w:t>
            </w:r>
          </w:p>
        </w:tc>
        <w:tc>
          <w:tcPr>
            <w:tcW w:w="891"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128453.6</w:t>
            </w:r>
          </w:p>
        </w:tc>
        <w:tc>
          <w:tcPr>
            <w:tcW w:w="768"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136871.9</w:t>
            </w:r>
          </w:p>
        </w:tc>
        <w:tc>
          <w:tcPr>
            <w:tcW w:w="473"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6.6</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177161</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196158</w:t>
            </w:r>
          </w:p>
        </w:tc>
        <w:tc>
          <w:tcPr>
            <w:tcW w:w="578"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10.7</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771326</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786534</w:t>
            </w:r>
          </w:p>
        </w:tc>
        <w:tc>
          <w:tcPr>
            <w:tcW w:w="473"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2.0</w:t>
            </w:r>
          </w:p>
        </w:tc>
      </w:tr>
      <w:tr w:rsidR="00E33E7A" w:rsidRPr="00C528F6">
        <w:trPr>
          <w:trHeight w:val="285"/>
          <w:jc w:val="center"/>
        </w:trPr>
        <w:tc>
          <w:tcPr>
            <w:tcW w:w="936" w:type="dxa"/>
            <w:tcBorders>
              <w:top w:val="nil"/>
              <w:left w:val="single" w:sz="4" w:space="0" w:color="auto"/>
              <w:bottom w:val="single" w:sz="4" w:space="0" w:color="auto"/>
              <w:right w:val="single" w:sz="4" w:space="0" w:color="auto"/>
            </w:tcBorders>
            <w:noWrap/>
            <w:vAlign w:val="center"/>
          </w:tcPr>
          <w:p w:rsidR="00E33E7A" w:rsidRPr="00C528F6" w:rsidRDefault="00E33E7A" w:rsidP="001B48E9">
            <w:pPr>
              <w:spacing w:after="0" w:line="240" w:lineRule="auto"/>
              <w:rPr>
                <w:rFonts w:ascii="Times New Roman" w:hAnsi="Times New Roman" w:cs="Times New Roman"/>
                <w:sz w:val="18"/>
                <w:szCs w:val="18"/>
              </w:rPr>
            </w:pPr>
            <w:r w:rsidRPr="00C528F6">
              <w:rPr>
                <w:rFonts w:ascii="Times New Roman" w:hAnsi="Times New Roman" w:cs="Times New Roman"/>
                <w:sz w:val="18"/>
                <w:szCs w:val="18"/>
              </w:rPr>
              <w:t>The new member states of the UE</w:t>
            </w:r>
          </w:p>
        </w:tc>
        <w:tc>
          <w:tcPr>
            <w:tcW w:w="891"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15734.8</w:t>
            </w:r>
          </w:p>
        </w:tc>
        <w:tc>
          <w:tcPr>
            <w:tcW w:w="768"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16609.9</w:t>
            </w:r>
          </w:p>
        </w:tc>
        <w:tc>
          <w:tcPr>
            <w:tcW w:w="473"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5.6</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63719</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67708</w:t>
            </w:r>
          </w:p>
        </w:tc>
        <w:tc>
          <w:tcPr>
            <w:tcW w:w="578"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6.3</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169574</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180638</w:t>
            </w:r>
          </w:p>
        </w:tc>
        <w:tc>
          <w:tcPr>
            <w:tcW w:w="473"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6.5</w:t>
            </w:r>
          </w:p>
        </w:tc>
      </w:tr>
      <w:tr w:rsidR="00E33E7A" w:rsidRPr="00C528F6">
        <w:trPr>
          <w:trHeight w:val="285"/>
          <w:jc w:val="center"/>
        </w:trPr>
        <w:tc>
          <w:tcPr>
            <w:tcW w:w="936" w:type="dxa"/>
            <w:tcBorders>
              <w:top w:val="nil"/>
              <w:left w:val="single" w:sz="4" w:space="0" w:color="auto"/>
              <w:bottom w:val="single" w:sz="4" w:space="0" w:color="auto"/>
              <w:right w:val="single" w:sz="4" w:space="0" w:color="auto"/>
            </w:tcBorders>
            <w:noWrap/>
            <w:vAlign w:val="center"/>
          </w:tcPr>
          <w:p w:rsidR="00E33E7A" w:rsidRPr="00C528F6" w:rsidRDefault="00E33E7A" w:rsidP="001B48E9">
            <w:pPr>
              <w:spacing w:after="0" w:line="240" w:lineRule="auto"/>
              <w:rPr>
                <w:rFonts w:ascii="Times New Roman" w:hAnsi="Times New Roman" w:cs="Times New Roman"/>
                <w:sz w:val="18"/>
                <w:szCs w:val="18"/>
              </w:rPr>
            </w:pPr>
            <w:r w:rsidRPr="00C528F6">
              <w:rPr>
                <w:rFonts w:ascii="Times New Roman" w:hAnsi="Times New Roman" w:cs="Times New Roman"/>
                <w:sz w:val="18"/>
                <w:szCs w:val="18"/>
              </w:rPr>
              <w:t>European Union (28 countries)</w:t>
            </w:r>
          </w:p>
        </w:tc>
        <w:tc>
          <w:tcPr>
            <w:tcW w:w="891"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144188.4</w:t>
            </w:r>
          </w:p>
        </w:tc>
        <w:tc>
          <w:tcPr>
            <w:tcW w:w="768"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153481.8</w:t>
            </w:r>
          </w:p>
        </w:tc>
        <w:tc>
          <w:tcPr>
            <w:tcW w:w="473"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6.4</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240880</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263866</w:t>
            </w:r>
          </w:p>
        </w:tc>
        <w:tc>
          <w:tcPr>
            <w:tcW w:w="578"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9.5</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940900</w:t>
            </w:r>
          </w:p>
        </w:tc>
        <w:tc>
          <w:tcPr>
            <w:tcW w:w="756"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967172</w:t>
            </w:r>
          </w:p>
        </w:tc>
        <w:tc>
          <w:tcPr>
            <w:tcW w:w="473" w:type="dxa"/>
            <w:tcBorders>
              <w:top w:val="nil"/>
              <w:left w:val="nil"/>
              <w:bottom w:val="single" w:sz="4" w:space="0" w:color="auto"/>
              <w:right w:val="single" w:sz="4" w:space="0" w:color="auto"/>
            </w:tcBorders>
            <w:noWrap/>
            <w:vAlign w:val="center"/>
          </w:tcPr>
          <w:p w:rsidR="00E33E7A" w:rsidRPr="003C4A82" w:rsidRDefault="00E33E7A" w:rsidP="00E76CAD">
            <w:pPr>
              <w:spacing w:after="0" w:line="240" w:lineRule="auto"/>
              <w:jc w:val="center"/>
              <w:rPr>
                <w:rFonts w:ascii="Times New Roman" w:hAnsi="Times New Roman" w:cs="Times New Roman"/>
                <w:sz w:val="18"/>
                <w:szCs w:val="18"/>
              </w:rPr>
            </w:pPr>
            <w:r w:rsidRPr="003C4A82">
              <w:rPr>
                <w:rFonts w:ascii="Times New Roman" w:hAnsi="Times New Roman" w:cs="Times New Roman"/>
                <w:sz w:val="18"/>
                <w:szCs w:val="18"/>
              </w:rPr>
              <w:t>2.8</w:t>
            </w:r>
          </w:p>
        </w:tc>
      </w:tr>
    </w:tbl>
    <w:p w:rsidR="00E33E7A" w:rsidRPr="00AB08FC" w:rsidRDefault="00E33E7A" w:rsidP="00AB5AE4">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Source: personal processing from</w:t>
      </w:r>
      <w:r>
        <w:rPr>
          <w:rFonts w:ascii="Times New Roman" w:hAnsi="Times New Roman" w:cs="Times New Roman"/>
          <w:sz w:val="16"/>
          <w:szCs w:val="16"/>
        </w:rPr>
        <w:t xml:space="preserve"> </w:t>
      </w:r>
      <w:r w:rsidRPr="00AB08FC">
        <w:rPr>
          <w:rFonts w:ascii="Times New Roman" w:hAnsi="Times New Roman" w:cs="Times New Roman"/>
          <w:i/>
          <w:iCs/>
          <w:sz w:val="16"/>
          <w:szCs w:val="16"/>
        </w:rPr>
        <w:t>Eurostat</w:t>
      </w:r>
      <w:r>
        <w:rPr>
          <w:rFonts w:ascii="Times New Roman" w:hAnsi="Times New Roman" w:cs="Times New Roman"/>
          <w:sz w:val="16"/>
          <w:szCs w:val="16"/>
        </w:rPr>
        <w:t xml:space="preserve"> (</w:t>
      </w:r>
      <w:r w:rsidRPr="00AB08FC">
        <w:rPr>
          <w:rFonts w:ascii="Times New Roman" w:hAnsi="Times New Roman" w:cs="Times New Roman"/>
          <w:sz w:val="16"/>
          <w:szCs w:val="16"/>
        </w:rPr>
        <w:t>2017)</w:t>
      </w:r>
    </w:p>
    <w:p w:rsidR="00E33E7A" w:rsidRPr="00AB08FC" w:rsidRDefault="00E33E7A" w:rsidP="00AB5AE4">
      <w:pPr>
        <w:spacing w:after="0" w:line="240" w:lineRule="auto"/>
        <w:jc w:val="center"/>
        <w:rPr>
          <w:rFonts w:ascii="Times New Roman" w:hAnsi="Times New Roman" w:cs="Times New Roman"/>
          <w:sz w:val="16"/>
          <w:szCs w:val="16"/>
        </w:rPr>
      </w:pPr>
    </w:p>
    <w:p w:rsidR="00E33E7A" w:rsidRPr="00AB08FC" w:rsidRDefault="00E33E7A" w:rsidP="00006EFD">
      <w:pPr>
        <w:spacing w:after="0" w:line="240" w:lineRule="auto"/>
        <w:jc w:val="both"/>
        <w:rPr>
          <w:rFonts w:ascii="Times New Roman" w:hAnsi="Times New Roman" w:cs="Times New Roman"/>
          <w:sz w:val="20"/>
          <w:szCs w:val="20"/>
        </w:rPr>
      </w:pPr>
      <w:r w:rsidRPr="00F10DD9">
        <w:rPr>
          <w:rFonts w:ascii="Times New Roman" w:hAnsi="Times New Roman" w:cs="Times New Roman"/>
          <w:sz w:val="20"/>
          <w:szCs w:val="20"/>
        </w:rPr>
        <w:t>By comparing the results obtained (</w:t>
      </w:r>
      <w:r>
        <w:rPr>
          <w:rFonts w:ascii="Times New Roman" w:hAnsi="Times New Roman" w:cs="Times New Roman"/>
          <w:sz w:val="20"/>
          <w:szCs w:val="20"/>
        </w:rPr>
        <w:t>t</w:t>
      </w:r>
      <w:r w:rsidRPr="00F10DD9">
        <w:rPr>
          <w:rFonts w:ascii="Times New Roman" w:hAnsi="Times New Roman" w:cs="Times New Roman"/>
          <w:sz w:val="20"/>
          <w:szCs w:val="20"/>
        </w:rPr>
        <w:t>urnover or gross premiums written) and the allocated resources (</w:t>
      </w:r>
      <w:r>
        <w:rPr>
          <w:rFonts w:ascii="Times New Roman" w:hAnsi="Times New Roman" w:cs="Times New Roman"/>
          <w:sz w:val="20"/>
          <w:szCs w:val="20"/>
        </w:rPr>
        <w:t>n</w:t>
      </w:r>
      <w:r w:rsidRPr="00F10DD9">
        <w:rPr>
          <w:rFonts w:ascii="Times New Roman" w:hAnsi="Times New Roman" w:cs="Times New Roman"/>
          <w:sz w:val="20"/>
          <w:szCs w:val="20"/>
        </w:rPr>
        <w:t xml:space="preserve">umber of persons employed) there is a gap between the old and the new EU members. Thus, in the year 2015, 81.3% of the total number of employees in the EU advertising made 89.2% of the total </w:t>
      </w:r>
      <w:r>
        <w:rPr>
          <w:rFonts w:ascii="Times New Roman" w:hAnsi="Times New Roman" w:cs="Times New Roman"/>
          <w:sz w:val="20"/>
          <w:szCs w:val="20"/>
        </w:rPr>
        <w:t>t</w:t>
      </w:r>
      <w:r w:rsidRPr="00F10DD9">
        <w:rPr>
          <w:rFonts w:ascii="Times New Roman" w:hAnsi="Times New Roman" w:cs="Times New Roman"/>
          <w:sz w:val="20"/>
          <w:szCs w:val="20"/>
        </w:rPr>
        <w:t xml:space="preserve">urnover or gross premiums written, while 18.7% of them achieved only 10.8% of the total </w:t>
      </w:r>
      <w:r>
        <w:rPr>
          <w:rFonts w:ascii="Times New Roman" w:hAnsi="Times New Roman" w:cs="Times New Roman"/>
          <w:sz w:val="20"/>
          <w:szCs w:val="20"/>
        </w:rPr>
        <w:t>t</w:t>
      </w:r>
      <w:r w:rsidRPr="00F10DD9">
        <w:rPr>
          <w:rFonts w:ascii="Times New Roman" w:hAnsi="Times New Roman" w:cs="Times New Roman"/>
          <w:sz w:val="20"/>
          <w:szCs w:val="20"/>
        </w:rPr>
        <w:t>urnover</w:t>
      </w:r>
      <w:r>
        <w:rPr>
          <w:rFonts w:ascii="Times New Roman" w:hAnsi="Times New Roman" w:cs="Times New Roman"/>
          <w:sz w:val="20"/>
          <w:szCs w:val="20"/>
        </w:rPr>
        <w:t xml:space="preserve"> or g</w:t>
      </w:r>
      <w:r w:rsidRPr="00F10DD9">
        <w:rPr>
          <w:rFonts w:ascii="Times New Roman" w:hAnsi="Times New Roman" w:cs="Times New Roman"/>
          <w:sz w:val="20"/>
          <w:szCs w:val="20"/>
        </w:rPr>
        <w:t>ross premiums written (indicators for new members). (Figure 2)</w:t>
      </w:r>
    </w:p>
    <w:p w:rsidR="00E33E7A" w:rsidRPr="00AB08FC" w:rsidRDefault="00E33E7A" w:rsidP="00531D02">
      <w:pPr>
        <w:spacing w:after="0" w:line="240" w:lineRule="auto"/>
        <w:jc w:val="center"/>
        <w:rPr>
          <w:rFonts w:ascii="Times New Roman" w:hAnsi="Times New Roman" w:cs="Times New Roman"/>
          <w:b/>
          <w:bCs/>
          <w:sz w:val="20"/>
          <w:szCs w:val="20"/>
        </w:rPr>
      </w:pPr>
      <w:r w:rsidRPr="007360A2">
        <w:rPr>
          <w:rFonts w:ascii="Times New Roman" w:hAnsi="Times New Roman" w:cs="Times New Roman"/>
          <w:noProof/>
        </w:rPr>
        <w:object w:dxaOrig="7099" w:dyaOrig="2742">
          <v:shape id="_x0000_i1026" type="#_x0000_t75" style="width:366.75pt;height:141.75pt" o:ole="">
            <v:imagedata r:id="rId10" o:title="" croptop="-2796f" cropbottom="-1506f" cropleft="-2059f" cropright="-92f"/>
            <o:lock v:ext="edit" aspectratio="f"/>
          </v:shape>
          <o:OLEObject Type="Embed" ProgID="Excel.Chart.8" ShapeID="_x0000_i1026" DrawAspect="Content" ObjectID="_1561617759" r:id="rId11"/>
        </w:object>
      </w:r>
      <w:r w:rsidRPr="00BE428C">
        <w:rPr>
          <w:rFonts w:ascii="Times New Roman" w:hAnsi="Times New Roman" w:cs="Times New Roman"/>
          <w:b/>
          <w:bCs/>
          <w:sz w:val="20"/>
          <w:szCs w:val="20"/>
        </w:rPr>
        <w:t xml:space="preserve">Figure 2. Structure of </w:t>
      </w:r>
      <w:r>
        <w:rPr>
          <w:rFonts w:ascii="Times New Roman" w:hAnsi="Times New Roman" w:cs="Times New Roman"/>
          <w:b/>
          <w:bCs/>
          <w:sz w:val="20"/>
          <w:szCs w:val="20"/>
        </w:rPr>
        <w:t>t</w:t>
      </w:r>
      <w:r w:rsidRPr="00BE428C">
        <w:rPr>
          <w:rFonts w:ascii="Times New Roman" w:hAnsi="Times New Roman" w:cs="Times New Roman"/>
          <w:b/>
          <w:bCs/>
          <w:sz w:val="20"/>
          <w:szCs w:val="20"/>
        </w:rPr>
        <w:t xml:space="preserve">urnover or gross premiums written, </w:t>
      </w:r>
      <w:r>
        <w:rPr>
          <w:rFonts w:ascii="Times New Roman" w:hAnsi="Times New Roman" w:cs="Times New Roman"/>
          <w:b/>
          <w:bCs/>
          <w:sz w:val="20"/>
          <w:szCs w:val="20"/>
        </w:rPr>
        <w:t>number of enterprises and n</w:t>
      </w:r>
      <w:r w:rsidRPr="00BE428C">
        <w:rPr>
          <w:rFonts w:ascii="Times New Roman" w:hAnsi="Times New Roman" w:cs="Times New Roman"/>
          <w:b/>
          <w:bCs/>
          <w:sz w:val="20"/>
          <w:szCs w:val="20"/>
        </w:rPr>
        <w:t>umber of employed persons in advertising for old and new EU members (%)</w:t>
      </w:r>
    </w:p>
    <w:p w:rsidR="00E33E7A" w:rsidRPr="00AB08FC" w:rsidRDefault="00E33E7A" w:rsidP="00531D02">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 xml:space="preserve">Source: personal processing from </w:t>
      </w:r>
      <w:r w:rsidRPr="00AB08FC">
        <w:rPr>
          <w:rFonts w:ascii="Times New Roman" w:hAnsi="Times New Roman" w:cs="Times New Roman"/>
          <w:i/>
          <w:iCs/>
          <w:sz w:val="16"/>
          <w:szCs w:val="16"/>
        </w:rPr>
        <w:t>Eurostat</w:t>
      </w:r>
      <w:r>
        <w:rPr>
          <w:rFonts w:ascii="Times New Roman" w:hAnsi="Times New Roman" w:cs="Times New Roman"/>
          <w:sz w:val="16"/>
          <w:szCs w:val="16"/>
        </w:rPr>
        <w:t xml:space="preserve"> (</w:t>
      </w:r>
      <w:r w:rsidRPr="00AB08FC">
        <w:rPr>
          <w:rFonts w:ascii="Times New Roman" w:hAnsi="Times New Roman" w:cs="Times New Roman"/>
          <w:sz w:val="16"/>
          <w:szCs w:val="16"/>
        </w:rPr>
        <w:t>2017)</w:t>
      </w:r>
    </w:p>
    <w:p w:rsidR="00E33E7A" w:rsidRPr="00AB08FC" w:rsidRDefault="00E33E7A" w:rsidP="0063147D">
      <w:pPr>
        <w:spacing w:after="0" w:line="240" w:lineRule="auto"/>
        <w:jc w:val="both"/>
        <w:rPr>
          <w:rFonts w:ascii="Times New Roman" w:hAnsi="Times New Roman" w:cs="Times New Roman"/>
          <w:sz w:val="20"/>
          <w:szCs w:val="20"/>
        </w:rPr>
      </w:pPr>
    </w:p>
    <w:p w:rsidR="00E33E7A" w:rsidRDefault="00E33E7A" w:rsidP="0063147D">
      <w:pPr>
        <w:spacing w:after="0" w:line="240" w:lineRule="auto"/>
        <w:jc w:val="both"/>
        <w:rPr>
          <w:rFonts w:ascii="Times New Roman" w:hAnsi="Times New Roman" w:cs="Times New Roman"/>
          <w:sz w:val="20"/>
          <w:szCs w:val="20"/>
        </w:rPr>
      </w:pPr>
      <w:r w:rsidRPr="007540CB">
        <w:rPr>
          <w:rFonts w:ascii="Times New Roman" w:hAnsi="Times New Roman" w:cs="Times New Roman"/>
          <w:sz w:val="20"/>
          <w:szCs w:val="20"/>
        </w:rPr>
        <w:t xml:space="preserve">Referring to the size of the advertising market from the perspective of </w:t>
      </w:r>
      <w:r>
        <w:rPr>
          <w:rFonts w:ascii="Times New Roman" w:hAnsi="Times New Roman" w:cs="Times New Roman"/>
          <w:sz w:val="20"/>
          <w:szCs w:val="20"/>
        </w:rPr>
        <w:t>t</w:t>
      </w:r>
      <w:r w:rsidRPr="007540CB">
        <w:rPr>
          <w:rFonts w:ascii="Times New Roman" w:hAnsi="Times New Roman" w:cs="Times New Roman"/>
          <w:sz w:val="20"/>
          <w:szCs w:val="20"/>
        </w:rPr>
        <w:t xml:space="preserve">urnover or gross premiums written, by EU countries, the United Kingdom ranks first with a value of nearly 38 billion euros, followed by other old Member </w:t>
      </w:r>
      <w:r>
        <w:rPr>
          <w:rFonts w:ascii="Times New Roman" w:hAnsi="Times New Roman" w:cs="Times New Roman"/>
          <w:sz w:val="20"/>
          <w:szCs w:val="20"/>
        </w:rPr>
        <w:t>States, such as Germany, France, Spain, Italy etc., m</w:t>
      </w:r>
      <w:r w:rsidRPr="007540CB">
        <w:rPr>
          <w:rFonts w:ascii="Times New Roman" w:hAnsi="Times New Roman" w:cs="Times New Roman"/>
          <w:sz w:val="20"/>
          <w:szCs w:val="20"/>
        </w:rPr>
        <w:t>ost of the new EU members being at the end of the ranking from this point of view. (Figure 3)</w:t>
      </w:r>
    </w:p>
    <w:p w:rsidR="00E33E7A" w:rsidRPr="00AB08FC" w:rsidRDefault="00E33E7A" w:rsidP="0063147D">
      <w:pPr>
        <w:spacing w:after="0" w:line="240" w:lineRule="auto"/>
        <w:jc w:val="both"/>
        <w:rPr>
          <w:rFonts w:ascii="Times New Roman" w:hAnsi="Times New Roman" w:cs="Times New Roman"/>
          <w:sz w:val="20"/>
          <w:szCs w:val="20"/>
        </w:rPr>
      </w:pPr>
    </w:p>
    <w:p w:rsidR="00E33E7A" w:rsidRPr="00AB08FC" w:rsidRDefault="00E33E7A" w:rsidP="00A8621E">
      <w:pPr>
        <w:spacing w:after="0" w:line="240" w:lineRule="auto"/>
        <w:jc w:val="center"/>
        <w:rPr>
          <w:rFonts w:ascii="Times New Roman" w:hAnsi="Times New Roman" w:cs="Times New Roman"/>
        </w:rPr>
      </w:pPr>
      <w:r w:rsidRPr="007360A2">
        <w:rPr>
          <w:rFonts w:ascii="Times New Roman" w:hAnsi="Times New Roman" w:cs="Times New Roman"/>
          <w:noProof/>
        </w:rPr>
        <w:object w:dxaOrig="6691" w:dyaOrig="3785">
          <v:shape id="_x0000_i1027" type="#_x0000_t75" style="width:329.25pt;height:203.25pt" o:ole="">
            <v:imagedata r:id="rId12" o:title="" croptop="-1143f" cropbottom="-3636f" cropleft="-813f" cropright="-167f"/>
            <o:lock v:ext="edit" aspectratio="f"/>
          </v:shape>
          <o:OLEObject Type="Embed" ProgID="Excel.Chart.8" ShapeID="_x0000_i1027" DrawAspect="Content" ObjectID="_1561617760" r:id="rId13"/>
        </w:object>
      </w:r>
    </w:p>
    <w:p w:rsidR="00E33E7A" w:rsidRPr="00AB08FC" w:rsidRDefault="00E33E7A" w:rsidP="00A8621E">
      <w:pPr>
        <w:spacing w:after="0" w:line="240" w:lineRule="auto"/>
        <w:jc w:val="center"/>
        <w:rPr>
          <w:rFonts w:ascii="Times New Roman" w:hAnsi="Times New Roman" w:cs="Times New Roman"/>
          <w:b/>
          <w:bCs/>
          <w:sz w:val="20"/>
          <w:szCs w:val="20"/>
        </w:rPr>
      </w:pPr>
      <w:r w:rsidRPr="00921E41">
        <w:rPr>
          <w:rFonts w:ascii="Times New Roman" w:hAnsi="Times New Roman" w:cs="Times New Roman"/>
          <w:b/>
          <w:bCs/>
          <w:sz w:val="20"/>
          <w:szCs w:val="20"/>
        </w:rPr>
        <w:t>Figure 3. Turnover or gross premiums written made from advertising in the EU-28 countries in 2015 (millions of €)</w:t>
      </w:r>
    </w:p>
    <w:p w:rsidR="00E33E7A" w:rsidRPr="00AB08FC" w:rsidRDefault="00E33E7A" w:rsidP="001F5946">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 xml:space="preserve">Source: </w:t>
      </w:r>
      <w:r w:rsidRPr="00AB08FC">
        <w:rPr>
          <w:rFonts w:ascii="Times New Roman" w:hAnsi="Times New Roman" w:cs="Times New Roman"/>
          <w:i/>
          <w:iCs/>
          <w:sz w:val="16"/>
          <w:szCs w:val="16"/>
        </w:rPr>
        <w:t>Eurostat</w:t>
      </w:r>
      <w:r w:rsidRPr="00AB08FC">
        <w:rPr>
          <w:rFonts w:ascii="Times New Roman" w:hAnsi="Times New Roman" w:cs="Times New Roman"/>
          <w:sz w:val="16"/>
          <w:szCs w:val="16"/>
        </w:rPr>
        <w:t xml:space="preserve"> </w:t>
      </w:r>
      <w:r>
        <w:rPr>
          <w:rFonts w:ascii="Times New Roman" w:hAnsi="Times New Roman" w:cs="Times New Roman"/>
          <w:sz w:val="16"/>
          <w:szCs w:val="16"/>
        </w:rPr>
        <w:t>(</w:t>
      </w:r>
      <w:r w:rsidRPr="00AB08FC">
        <w:rPr>
          <w:rFonts w:ascii="Times New Roman" w:hAnsi="Times New Roman" w:cs="Times New Roman"/>
          <w:sz w:val="16"/>
          <w:szCs w:val="16"/>
        </w:rPr>
        <w:t>2017)</w:t>
      </w:r>
    </w:p>
    <w:p w:rsidR="00E33E7A" w:rsidRPr="00AB08FC" w:rsidRDefault="00E33E7A" w:rsidP="001F5946">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*2014</w:t>
      </w:r>
      <w:r>
        <w:rPr>
          <w:rFonts w:ascii="Times New Roman" w:hAnsi="Times New Roman" w:cs="Times New Roman"/>
          <w:sz w:val="16"/>
          <w:szCs w:val="16"/>
        </w:rPr>
        <w:t xml:space="preserve"> data</w:t>
      </w:r>
    </w:p>
    <w:p w:rsidR="00E33E7A" w:rsidRPr="00AB08FC" w:rsidRDefault="00E33E7A" w:rsidP="0063147D">
      <w:pPr>
        <w:spacing w:after="0" w:line="240" w:lineRule="auto"/>
        <w:jc w:val="both"/>
        <w:rPr>
          <w:rFonts w:ascii="Times New Roman" w:hAnsi="Times New Roman" w:cs="Times New Roman"/>
          <w:sz w:val="20"/>
          <w:szCs w:val="20"/>
        </w:rPr>
      </w:pPr>
    </w:p>
    <w:p w:rsidR="00E33E7A" w:rsidRPr="00AB08FC" w:rsidRDefault="00E33E7A" w:rsidP="0063147D">
      <w:pPr>
        <w:spacing w:after="0" w:line="240" w:lineRule="auto"/>
        <w:jc w:val="both"/>
        <w:rPr>
          <w:rFonts w:ascii="Times New Roman" w:hAnsi="Times New Roman" w:cs="Times New Roman"/>
          <w:sz w:val="20"/>
          <w:szCs w:val="20"/>
        </w:rPr>
      </w:pPr>
      <w:r w:rsidRPr="0081327B">
        <w:rPr>
          <w:rFonts w:ascii="Times New Roman" w:hAnsi="Times New Roman" w:cs="Times New Roman"/>
          <w:sz w:val="20"/>
          <w:szCs w:val="20"/>
        </w:rPr>
        <w:t xml:space="preserve">In dynamics, the period 2010-2015 was marked by different developments from one country to the </w:t>
      </w:r>
      <w:r>
        <w:rPr>
          <w:rFonts w:ascii="Times New Roman" w:hAnsi="Times New Roman" w:cs="Times New Roman"/>
          <w:sz w:val="20"/>
          <w:szCs w:val="20"/>
        </w:rPr>
        <w:t>other</w:t>
      </w:r>
      <w:r w:rsidRPr="0081327B">
        <w:rPr>
          <w:rFonts w:ascii="Times New Roman" w:hAnsi="Times New Roman" w:cs="Times New Roman"/>
          <w:sz w:val="20"/>
          <w:szCs w:val="20"/>
        </w:rPr>
        <w:t xml:space="preserve">, with the most spectacular increases (more than 60%) recorded in Estonia, Ireland (where, due to the lack of available official data, the dynamics was </w:t>
      </w:r>
      <w:r>
        <w:rPr>
          <w:rFonts w:ascii="Times New Roman" w:hAnsi="Times New Roman" w:cs="Times New Roman"/>
          <w:sz w:val="20"/>
          <w:szCs w:val="20"/>
        </w:rPr>
        <w:t>d</w:t>
      </w:r>
      <w:r w:rsidRPr="0081327B">
        <w:rPr>
          <w:rFonts w:ascii="Times New Roman" w:hAnsi="Times New Roman" w:cs="Times New Roman"/>
          <w:sz w:val="20"/>
          <w:szCs w:val="20"/>
        </w:rPr>
        <w:t xml:space="preserve">etermined </w:t>
      </w:r>
      <w:r>
        <w:rPr>
          <w:rFonts w:ascii="Times New Roman" w:hAnsi="Times New Roman" w:cs="Times New Roman"/>
          <w:sz w:val="20"/>
          <w:szCs w:val="20"/>
        </w:rPr>
        <w:t>for</w:t>
      </w:r>
      <w:r w:rsidRPr="0081327B">
        <w:rPr>
          <w:rFonts w:ascii="Times New Roman" w:hAnsi="Times New Roman" w:cs="Times New Roman"/>
          <w:sz w:val="20"/>
          <w:szCs w:val="20"/>
        </w:rPr>
        <w:t xml:space="preserve"> the 2010-2014 period) and the United Kingdom. Greece and Portugal show the largest decreases in this market (over 40% for Greece and over 30% for Portugal). (Figure 4)</w:t>
      </w:r>
    </w:p>
    <w:p w:rsidR="00E33E7A" w:rsidRPr="00AB08FC" w:rsidRDefault="00E33E7A" w:rsidP="00BB2DAC">
      <w:pPr>
        <w:spacing w:after="0" w:line="240" w:lineRule="auto"/>
        <w:jc w:val="center"/>
        <w:rPr>
          <w:rFonts w:ascii="Times New Roman" w:hAnsi="Times New Roman" w:cs="Times New Roman"/>
          <w:sz w:val="16"/>
          <w:szCs w:val="16"/>
        </w:rPr>
      </w:pPr>
      <w:r w:rsidRPr="007360A2">
        <w:rPr>
          <w:rFonts w:ascii="Times New Roman" w:hAnsi="Times New Roman" w:cs="Times New Roman"/>
          <w:noProof/>
          <w:sz w:val="16"/>
          <w:szCs w:val="16"/>
        </w:rPr>
        <w:object w:dxaOrig="6463" w:dyaOrig="3696">
          <v:shape id="_x0000_i1028" type="#_x0000_t75" style="width:340.5pt;height:167.25pt" o:ole="">
            <v:imagedata r:id="rId14" o:title="" croptop="-1330f" cropbottom="-6242f" cropleft="-1805f" cropright="-1704f"/>
            <o:lock v:ext="edit" aspectratio="f"/>
          </v:shape>
          <o:OLEObject Type="Embed" ProgID="Excel.Chart.8" ShapeID="_x0000_i1028" DrawAspect="Content" ObjectID="_1561617761" r:id="rId15"/>
        </w:object>
      </w:r>
    </w:p>
    <w:p w:rsidR="00E33E7A" w:rsidRPr="00AB08FC" w:rsidRDefault="00E33E7A" w:rsidP="00BB2DAC">
      <w:pPr>
        <w:spacing w:after="0" w:line="240" w:lineRule="auto"/>
        <w:jc w:val="center"/>
        <w:rPr>
          <w:rFonts w:ascii="Times New Roman" w:hAnsi="Times New Roman" w:cs="Times New Roman"/>
          <w:b/>
          <w:bCs/>
          <w:sz w:val="20"/>
          <w:szCs w:val="20"/>
        </w:rPr>
      </w:pPr>
      <w:r w:rsidRPr="001418E3">
        <w:rPr>
          <w:rFonts w:ascii="Times New Roman" w:hAnsi="Times New Roman" w:cs="Times New Roman"/>
          <w:b/>
          <w:bCs/>
          <w:sz w:val="20"/>
          <w:szCs w:val="20"/>
        </w:rPr>
        <w:t xml:space="preserve">Figure 4. Percentage change in </w:t>
      </w:r>
      <w:r>
        <w:rPr>
          <w:rFonts w:ascii="Times New Roman" w:hAnsi="Times New Roman" w:cs="Times New Roman"/>
          <w:b/>
          <w:bCs/>
          <w:sz w:val="20"/>
          <w:szCs w:val="20"/>
        </w:rPr>
        <w:t>t</w:t>
      </w:r>
      <w:r w:rsidRPr="001418E3">
        <w:rPr>
          <w:rFonts w:ascii="Times New Roman" w:hAnsi="Times New Roman" w:cs="Times New Roman"/>
          <w:b/>
          <w:bCs/>
          <w:sz w:val="20"/>
          <w:szCs w:val="20"/>
        </w:rPr>
        <w:t>urnover or gross premiums written from advertising in EU-28 countries in 2015 compared to 2010 (+/- in% as compared to 2010)</w:t>
      </w:r>
    </w:p>
    <w:p w:rsidR="00E33E7A" w:rsidRPr="00AB08FC" w:rsidRDefault="00E33E7A" w:rsidP="00BB2DAC">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 xml:space="preserve">Source: personal processing from </w:t>
      </w:r>
      <w:r w:rsidRPr="00AB08FC">
        <w:rPr>
          <w:rFonts w:ascii="Times New Roman" w:hAnsi="Times New Roman" w:cs="Times New Roman"/>
          <w:i/>
          <w:iCs/>
          <w:sz w:val="16"/>
          <w:szCs w:val="16"/>
        </w:rPr>
        <w:t>Eurostat</w:t>
      </w:r>
      <w:r>
        <w:rPr>
          <w:rFonts w:ascii="Times New Roman" w:hAnsi="Times New Roman" w:cs="Times New Roman"/>
          <w:sz w:val="16"/>
          <w:szCs w:val="16"/>
        </w:rPr>
        <w:t xml:space="preserve"> (</w:t>
      </w:r>
      <w:r w:rsidRPr="00AB08FC">
        <w:rPr>
          <w:rFonts w:ascii="Times New Roman" w:hAnsi="Times New Roman" w:cs="Times New Roman"/>
          <w:sz w:val="16"/>
          <w:szCs w:val="16"/>
        </w:rPr>
        <w:t>2017)</w:t>
      </w:r>
    </w:p>
    <w:p w:rsidR="00E33E7A" w:rsidRPr="00AB08FC" w:rsidRDefault="00E33E7A" w:rsidP="00BB2DAC">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 xml:space="preserve">* 2014 </w:t>
      </w:r>
      <w:r>
        <w:rPr>
          <w:rFonts w:ascii="Times New Roman" w:hAnsi="Times New Roman" w:cs="Times New Roman"/>
          <w:sz w:val="16"/>
          <w:szCs w:val="16"/>
        </w:rPr>
        <w:t>compared to</w:t>
      </w:r>
      <w:r w:rsidRPr="00AB08FC">
        <w:rPr>
          <w:rFonts w:ascii="Times New Roman" w:hAnsi="Times New Roman" w:cs="Times New Roman"/>
          <w:sz w:val="16"/>
          <w:szCs w:val="16"/>
        </w:rPr>
        <w:t xml:space="preserve"> 2010</w:t>
      </w:r>
    </w:p>
    <w:p w:rsidR="00E33E7A" w:rsidRPr="00AB08FC" w:rsidRDefault="00E33E7A" w:rsidP="00BB2DAC">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 xml:space="preserve">** 2015 </w:t>
      </w:r>
      <w:r>
        <w:rPr>
          <w:rFonts w:ascii="Times New Roman" w:hAnsi="Times New Roman" w:cs="Times New Roman"/>
          <w:sz w:val="16"/>
          <w:szCs w:val="16"/>
        </w:rPr>
        <w:t>compared to</w:t>
      </w:r>
      <w:r w:rsidRPr="00AB08FC">
        <w:rPr>
          <w:rFonts w:ascii="Times New Roman" w:hAnsi="Times New Roman" w:cs="Times New Roman"/>
          <w:sz w:val="16"/>
          <w:szCs w:val="16"/>
        </w:rPr>
        <w:t xml:space="preserve"> 2011</w:t>
      </w:r>
    </w:p>
    <w:p w:rsidR="00E33E7A" w:rsidRPr="00AB08FC" w:rsidRDefault="00E33E7A" w:rsidP="00BF0061">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Not</w:t>
      </w:r>
      <w:r>
        <w:rPr>
          <w:rFonts w:ascii="Times New Roman" w:hAnsi="Times New Roman" w:cs="Times New Roman"/>
          <w:sz w:val="16"/>
          <w:szCs w:val="16"/>
        </w:rPr>
        <w:t>e</w:t>
      </w:r>
      <w:r w:rsidRPr="00AB08FC">
        <w:rPr>
          <w:rFonts w:ascii="Times New Roman" w:hAnsi="Times New Roman" w:cs="Times New Roman"/>
          <w:sz w:val="16"/>
          <w:szCs w:val="16"/>
        </w:rPr>
        <w:t xml:space="preserve">: </w:t>
      </w:r>
      <w:r>
        <w:rPr>
          <w:rFonts w:ascii="Times New Roman" w:hAnsi="Times New Roman" w:cs="Times New Roman"/>
          <w:sz w:val="16"/>
          <w:szCs w:val="16"/>
        </w:rPr>
        <w:t>no data for</w:t>
      </w:r>
      <w:r w:rsidRPr="00AB08FC">
        <w:rPr>
          <w:rFonts w:ascii="Times New Roman" w:hAnsi="Times New Roman" w:cs="Times New Roman"/>
          <w:sz w:val="16"/>
          <w:szCs w:val="16"/>
        </w:rPr>
        <w:t xml:space="preserve"> Malta</w:t>
      </w:r>
    </w:p>
    <w:p w:rsidR="00E33E7A" w:rsidRPr="00AB08FC" w:rsidRDefault="00E33E7A" w:rsidP="00BB2DAC">
      <w:pPr>
        <w:spacing w:after="0" w:line="240" w:lineRule="auto"/>
        <w:jc w:val="both"/>
        <w:rPr>
          <w:rFonts w:ascii="Times New Roman" w:hAnsi="Times New Roman" w:cs="Times New Roman"/>
          <w:sz w:val="20"/>
          <w:szCs w:val="20"/>
        </w:rPr>
      </w:pPr>
    </w:p>
    <w:p w:rsidR="00E33E7A" w:rsidRPr="00AB08FC" w:rsidRDefault="00E33E7A" w:rsidP="00BB2DAC">
      <w:pPr>
        <w:spacing w:after="0" w:line="240" w:lineRule="auto"/>
        <w:jc w:val="both"/>
        <w:rPr>
          <w:rFonts w:ascii="Times New Roman" w:hAnsi="Times New Roman" w:cs="Times New Roman"/>
          <w:sz w:val="20"/>
          <w:szCs w:val="20"/>
        </w:rPr>
      </w:pPr>
      <w:r w:rsidRPr="001418E3">
        <w:rPr>
          <w:rFonts w:ascii="Times New Roman" w:hAnsi="Times New Roman" w:cs="Times New Roman"/>
          <w:sz w:val="20"/>
          <w:szCs w:val="20"/>
        </w:rPr>
        <w:t xml:space="preserve">In terms of </w:t>
      </w:r>
      <w:r>
        <w:rPr>
          <w:rFonts w:ascii="Times New Roman" w:hAnsi="Times New Roman" w:cs="Times New Roman"/>
          <w:sz w:val="20"/>
          <w:szCs w:val="20"/>
        </w:rPr>
        <w:t>n</w:t>
      </w:r>
      <w:r w:rsidRPr="001418E3">
        <w:rPr>
          <w:rFonts w:ascii="Times New Roman" w:hAnsi="Times New Roman" w:cs="Times New Roman"/>
          <w:sz w:val="20"/>
          <w:szCs w:val="20"/>
        </w:rPr>
        <w:t>umber of enterprises, the hierarchy of EU countries is different in 2014, the first places being</w:t>
      </w:r>
      <w:r>
        <w:rPr>
          <w:rFonts w:ascii="Times New Roman" w:hAnsi="Times New Roman" w:cs="Times New Roman"/>
          <w:sz w:val="20"/>
          <w:szCs w:val="20"/>
        </w:rPr>
        <w:t xml:space="preserve"> occupied by</w:t>
      </w:r>
      <w:r w:rsidRPr="001418E3">
        <w:rPr>
          <w:rFonts w:ascii="Times New Roman" w:hAnsi="Times New Roman" w:cs="Times New Roman"/>
          <w:sz w:val="20"/>
          <w:szCs w:val="20"/>
        </w:rPr>
        <w:t xml:space="preserve"> Netherlands, followed by Germany</w:t>
      </w:r>
      <w:r>
        <w:rPr>
          <w:rFonts w:ascii="Times New Roman" w:hAnsi="Times New Roman" w:cs="Times New Roman"/>
          <w:sz w:val="20"/>
          <w:szCs w:val="20"/>
        </w:rPr>
        <w:t xml:space="preserve">, both with over 30.000 </w:t>
      </w:r>
      <w:r w:rsidRPr="001418E3">
        <w:rPr>
          <w:rFonts w:ascii="Times New Roman" w:hAnsi="Times New Roman" w:cs="Times New Roman"/>
          <w:sz w:val="20"/>
          <w:szCs w:val="20"/>
        </w:rPr>
        <w:t xml:space="preserve">operators, Spain and France </w:t>
      </w:r>
      <w:r>
        <w:rPr>
          <w:rFonts w:ascii="Times New Roman" w:hAnsi="Times New Roman" w:cs="Times New Roman"/>
          <w:sz w:val="20"/>
          <w:szCs w:val="20"/>
        </w:rPr>
        <w:t xml:space="preserve">with more than 25.000 </w:t>
      </w:r>
      <w:r w:rsidRPr="001418E3">
        <w:rPr>
          <w:rFonts w:ascii="Times New Roman" w:hAnsi="Times New Roman" w:cs="Times New Roman"/>
          <w:sz w:val="20"/>
          <w:szCs w:val="20"/>
        </w:rPr>
        <w:t>operators. (Figure 5)</w:t>
      </w:r>
    </w:p>
    <w:p w:rsidR="00E33E7A" w:rsidRPr="00AB08FC" w:rsidRDefault="00E33E7A" w:rsidP="00BB2DAC">
      <w:pPr>
        <w:spacing w:after="0" w:line="240" w:lineRule="auto"/>
        <w:jc w:val="both"/>
        <w:rPr>
          <w:rFonts w:ascii="Times New Roman" w:hAnsi="Times New Roman" w:cs="Times New Roman"/>
          <w:sz w:val="20"/>
          <w:szCs w:val="20"/>
        </w:rPr>
      </w:pPr>
    </w:p>
    <w:p w:rsidR="00E33E7A" w:rsidRPr="00AB08FC" w:rsidRDefault="00E33E7A" w:rsidP="00DE08A0">
      <w:pPr>
        <w:spacing w:after="0" w:line="240" w:lineRule="auto"/>
        <w:jc w:val="center"/>
        <w:rPr>
          <w:rFonts w:ascii="Times New Roman" w:hAnsi="Times New Roman" w:cs="Times New Roman"/>
          <w:b/>
          <w:bCs/>
          <w:sz w:val="20"/>
          <w:szCs w:val="20"/>
        </w:rPr>
      </w:pPr>
      <w:r w:rsidRPr="007360A2">
        <w:rPr>
          <w:rFonts w:ascii="Times New Roman" w:hAnsi="Times New Roman" w:cs="Times New Roman"/>
          <w:noProof/>
          <w:sz w:val="20"/>
          <w:szCs w:val="20"/>
        </w:rPr>
        <w:object w:dxaOrig="7204" w:dyaOrig="3840">
          <v:shape id="_x0000_i1029" type="#_x0000_t75" style="width:361.5pt;height:194.25pt" o:ole="">
            <v:imagedata r:id="rId16" o:title="" croptop="-1280f" cropbottom="-4523f" cropleft="-1683f" cropright="-1265f"/>
            <o:lock v:ext="edit" aspectratio="f"/>
          </v:shape>
          <o:OLEObject Type="Embed" ProgID="Excel.Chart.8" ShapeID="_x0000_i1029" DrawAspect="Content" ObjectID="_1561617762" r:id="rId17"/>
        </w:object>
      </w:r>
      <w:r w:rsidRPr="000C09C0">
        <w:rPr>
          <w:rFonts w:ascii="Times New Roman" w:hAnsi="Times New Roman" w:cs="Times New Roman"/>
          <w:b/>
          <w:bCs/>
          <w:sz w:val="20"/>
          <w:szCs w:val="20"/>
        </w:rPr>
        <w:t xml:space="preserve">Figure 5. Number of enterprises </w:t>
      </w:r>
      <w:r>
        <w:rPr>
          <w:rFonts w:ascii="Times New Roman" w:hAnsi="Times New Roman" w:cs="Times New Roman"/>
          <w:b/>
          <w:bCs/>
          <w:sz w:val="20"/>
          <w:szCs w:val="20"/>
        </w:rPr>
        <w:t xml:space="preserve">in </w:t>
      </w:r>
      <w:r w:rsidRPr="000C09C0">
        <w:rPr>
          <w:rFonts w:ascii="Times New Roman" w:hAnsi="Times New Roman" w:cs="Times New Roman"/>
          <w:b/>
          <w:bCs/>
          <w:sz w:val="20"/>
          <w:szCs w:val="20"/>
        </w:rPr>
        <w:t>advertising in EU-28 countries in 2014</w:t>
      </w:r>
    </w:p>
    <w:p w:rsidR="00E33E7A" w:rsidRPr="00AB08FC" w:rsidRDefault="00E33E7A" w:rsidP="00DE08A0">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 xml:space="preserve">Source: </w:t>
      </w:r>
      <w:r w:rsidRPr="00AB08FC">
        <w:rPr>
          <w:rFonts w:ascii="Times New Roman" w:hAnsi="Times New Roman" w:cs="Times New Roman"/>
          <w:i/>
          <w:iCs/>
          <w:sz w:val="16"/>
          <w:szCs w:val="16"/>
        </w:rPr>
        <w:t>Eurostat</w:t>
      </w:r>
      <w:r>
        <w:rPr>
          <w:rFonts w:ascii="Times New Roman" w:hAnsi="Times New Roman" w:cs="Times New Roman"/>
          <w:sz w:val="16"/>
          <w:szCs w:val="16"/>
        </w:rPr>
        <w:t xml:space="preserve"> (</w:t>
      </w:r>
      <w:r w:rsidRPr="00AB08FC">
        <w:rPr>
          <w:rFonts w:ascii="Times New Roman" w:hAnsi="Times New Roman" w:cs="Times New Roman"/>
          <w:sz w:val="16"/>
          <w:szCs w:val="16"/>
        </w:rPr>
        <w:t>2017)</w:t>
      </w:r>
    </w:p>
    <w:p w:rsidR="00E33E7A" w:rsidRPr="00AB08FC" w:rsidRDefault="00E33E7A" w:rsidP="00DE08A0">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Not</w:t>
      </w:r>
      <w:r>
        <w:rPr>
          <w:rFonts w:ascii="Times New Roman" w:hAnsi="Times New Roman" w:cs="Times New Roman"/>
          <w:sz w:val="16"/>
          <w:szCs w:val="16"/>
        </w:rPr>
        <w:t>e</w:t>
      </w:r>
      <w:r w:rsidRPr="00AB08FC">
        <w:rPr>
          <w:rFonts w:ascii="Times New Roman" w:hAnsi="Times New Roman" w:cs="Times New Roman"/>
          <w:sz w:val="16"/>
          <w:szCs w:val="16"/>
        </w:rPr>
        <w:t xml:space="preserve">: </w:t>
      </w:r>
      <w:r>
        <w:rPr>
          <w:rFonts w:ascii="Times New Roman" w:hAnsi="Times New Roman" w:cs="Times New Roman"/>
          <w:sz w:val="16"/>
          <w:szCs w:val="16"/>
        </w:rPr>
        <w:t>no data for</w:t>
      </w:r>
      <w:r w:rsidRPr="00AB08FC">
        <w:rPr>
          <w:rFonts w:ascii="Times New Roman" w:hAnsi="Times New Roman" w:cs="Times New Roman"/>
          <w:sz w:val="16"/>
          <w:szCs w:val="16"/>
        </w:rPr>
        <w:t xml:space="preserve"> Malta</w:t>
      </w:r>
    </w:p>
    <w:p w:rsidR="00E33E7A" w:rsidRPr="00AB08FC" w:rsidRDefault="00E33E7A" w:rsidP="00DE08A0">
      <w:pPr>
        <w:spacing w:after="0" w:line="240" w:lineRule="auto"/>
        <w:jc w:val="both"/>
        <w:rPr>
          <w:rFonts w:ascii="Times New Roman" w:hAnsi="Times New Roman" w:cs="Times New Roman"/>
          <w:sz w:val="20"/>
          <w:szCs w:val="20"/>
        </w:rPr>
      </w:pPr>
    </w:p>
    <w:p w:rsidR="00E33E7A" w:rsidRPr="00AB08FC" w:rsidRDefault="00E33E7A" w:rsidP="00DE08A0">
      <w:pPr>
        <w:spacing w:after="0" w:line="240" w:lineRule="auto"/>
        <w:jc w:val="both"/>
        <w:rPr>
          <w:rFonts w:ascii="Times New Roman" w:hAnsi="Times New Roman" w:cs="Times New Roman"/>
          <w:sz w:val="20"/>
          <w:szCs w:val="20"/>
        </w:rPr>
      </w:pPr>
      <w:r w:rsidRPr="00466430">
        <w:rPr>
          <w:rFonts w:ascii="Times New Roman" w:hAnsi="Times New Roman" w:cs="Times New Roman"/>
          <w:sz w:val="20"/>
          <w:szCs w:val="20"/>
        </w:rPr>
        <w:t xml:space="preserve">In most EU countries, there is an increase in the number of </w:t>
      </w:r>
      <w:r>
        <w:rPr>
          <w:rFonts w:ascii="Times New Roman" w:hAnsi="Times New Roman" w:cs="Times New Roman"/>
          <w:sz w:val="20"/>
          <w:szCs w:val="20"/>
        </w:rPr>
        <w:t>enterprises in advertising</w:t>
      </w:r>
      <w:r w:rsidRPr="00466430">
        <w:rPr>
          <w:rFonts w:ascii="Times New Roman" w:hAnsi="Times New Roman" w:cs="Times New Roman"/>
          <w:sz w:val="20"/>
          <w:szCs w:val="20"/>
        </w:rPr>
        <w:t>, with the largest increases being recorded in Lithuania and Ireland, while Greece and Portugal have also experienced the largest decreases. (Figure 6)</w:t>
      </w:r>
    </w:p>
    <w:p w:rsidR="00E33E7A" w:rsidRPr="00AB08FC" w:rsidRDefault="00E33E7A" w:rsidP="00DE08A0">
      <w:pPr>
        <w:spacing w:after="0" w:line="240" w:lineRule="auto"/>
        <w:jc w:val="both"/>
        <w:rPr>
          <w:rFonts w:ascii="Times New Roman" w:hAnsi="Times New Roman" w:cs="Times New Roman"/>
          <w:sz w:val="20"/>
          <w:szCs w:val="20"/>
        </w:rPr>
      </w:pPr>
    </w:p>
    <w:p w:rsidR="00E33E7A" w:rsidRPr="00AB08FC" w:rsidRDefault="00E33E7A" w:rsidP="003D1DCF">
      <w:pPr>
        <w:spacing w:after="0" w:line="240" w:lineRule="auto"/>
        <w:jc w:val="center"/>
        <w:rPr>
          <w:rFonts w:ascii="Times New Roman" w:hAnsi="Times New Roman" w:cs="Times New Roman"/>
          <w:b/>
          <w:bCs/>
          <w:sz w:val="20"/>
          <w:szCs w:val="20"/>
        </w:rPr>
      </w:pPr>
      <w:r w:rsidRPr="007360A2">
        <w:rPr>
          <w:rFonts w:ascii="Times New Roman" w:hAnsi="Times New Roman" w:cs="Times New Roman"/>
          <w:noProof/>
          <w:sz w:val="20"/>
          <w:szCs w:val="20"/>
        </w:rPr>
        <w:object w:dxaOrig="6781" w:dyaOrig="3374">
          <v:shape id="_x0000_i1030" type="#_x0000_t75" style="width:347.25pt;height:170.25pt" o:ole="">
            <v:imagedata r:id="rId18" o:title="" croptop="-699f" cropbottom="-2486f" cropleft="-1305f" cropright="-1653f"/>
            <o:lock v:ext="edit" aspectratio="f"/>
          </v:shape>
          <o:OLEObject Type="Embed" ProgID="Excel.Chart.8" ShapeID="_x0000_i1030" DrawAspect="Content" ObjectID="_1561617763" r:id="rId19"/>
        </w:object>
      </w:r>
      <w:r w:rsidRPr="005A5948">
        <w:rPr>
          <w:rFonts w:ascii="Times New Roman" w:hAnsi="Times New Roman" w:cs="Times New Roman"/>
          <w:b/>
          <w:bCs/>
          <w:sz w:val="20"/>
          <w:szCs w:val="20"/>
        </w:rPr>
        <w:t xml:space="preserve">Figure 6. Percentage change in </w:t>
      </w:r>
      <w:r>
        <w:rPr>
          <w:rFonts w:ascii="Times New Roman" w:hAnsi="Times New Roman" w:cs="Times New Roman"/>
          <w:b/>
          <w:bCs/>
          <w:sz w:val="20"/>
          <w:szCs w:val="20"/>
        </w:rPr>
        <w:t>n</w:t>
      </w:r>
      <w:r w:rsidRPr="005A5948">
        <w:rPr>
          <w:rFonts w:ascii="Times New Roman" w:hAnsi="Times New Roman" w:cs="Times New Roman"/>
          <w:b/>
          <w:bCs/>
          <w:sz w:val="20"/>
          <w:szCs w:val="20"/>
        </w:rPr>
        <w:t>umber of enterprises in advertising in EU-28 countries in 2014 compared to 2010 (%)</w:t>
      </w:r>
    </w:p>
    <w:p w:rsidR="00E33E7A" w:rsidRPr="00AB08FC" w:rsidRDefault="00E33E7A" w:rsidP="00DE08A0">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 </w:t>
      </w:r>
      <w:r w:rsidRPr="00AB08FC">
        <w:rPr>
          <w:rFonts w:ascii="Times New Roman" w:hAnsi="Times New Roman" w:cs="Times New Roman"/>
          <w:sz w:val="16"/>
          <w:szCs w:val="16"/>
        </w:rPr>
        <w:t xml:space="preserve">Source: personal processing from </w:t>
      </w:r>
      <w:r w:rsidRPr="00AB08FC">
        <w:rPr>
          <w:rFonts w:ascii="Times New Roman" w:hAnsi="Times New Roman" w:cs="Times New Roman"/>
          <w:i/>
          <w:iCs/>
          <w:sz w:val="16"/>
          <w:szCs w:val="16"/>
        </w:rPr>
        <w:t>Eurostat</w:t>
      </w:r>
      <w:r>
        <w:rPr>
          <w:rFonts w:ascii="Times New Roman" w:hAnsi="Times New Roman" w:cs="Times New Roman"/>
          <w:sz w:val="16"/>
          <w:szCs w:val="16"/>
        </w:rPr>
        <w:t xml:space="preserve"> (</w:t>
      </w:r>
      <w:r w:rsidRPr="00AB08FC">
        <w:rPr>
          <w:rFonts w:ascii="Times New Roman" w:hAnsi="Times New Roman" w:cs="Times New Roman"/>
          <w:sz w:val="16"/>
          <w:szCs w:val="16"/>
        </w:rPr>
        <w:t>2017)</w:t>
      </w:r>
    </w:p>
    <w:p w:rsidR="00E33E7A" w:rsidRPr="00AB08FC" w:rsidRDefault="00E33E7A" w:rsidP="00DE08A0">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Not</w:t>
      </w:r>
      <w:r>
        <w:rPr>
          <w:rFonts w:ascii="Times New Roman" w:hAnsi="Times New Roman" w:cs="Times New Roman"/>
          <w:sz w:val="16"/>
          <w:szCs w:val="16"/>
        </w:rPr>
        <w:t>e</w:t>
      </w:r>
      <w:r w:rsidRPr="00AB08FC">
        <w:rPr>
          <w:rFonts w:ascii="Times New Roman" w:hAnsi="Times New Roman" w:cs="Times New Roman"/>
          <w:sz w:val="16"/>
          <w:szCs w:val="16"/>
        </w:rPr>
        <w:t xml:space="preserve">: </w:t>
      </w:r>
      <w:r>
        <w:rPr>
          <w:rFonts w:ascii="Times New Roman" w:hAnsi="Times New Roman" w:cs="Times New Roman"/>
          <w:sz w:val="16"/>
          <w:szCs w:val="16"/>
        </w:rPr>
        <w:t>no data for</w:t>
      </w:r>
      <w:r w:rsidRPr="00AB08FC">
        <w:rPr>
          <w:rFonts w:ascii="Times New Roman" w:hAnsi="Times New Roman" w:cs="Times New Roman"/>
          <w:sz w:val="16"/>
          <w:szCs w:val="16"/>
        </w:rPr>
        <w:t xml:space="preserve"> Malta</w:t>
      </w:r>
    </w:p>
    <w:p w:rsidR="00E33E7A" w:rsidRPr="00AB08FC" w:rsidRDefault="00E33E7A" w:rsidP="0063147D">
      <w:pPr>
        <w:spacing w:after="0" w:line="240" w:lineRule="auto"/>
        <w:jc w:val="both"/>
        <w:rPr>
          <w:rFonts w:ascii="Times New Roman" w:hAnsi="Times New Roman" w:cs="Times New Roman"/>
          <w:sz w:val="20"/>
          <w:szCs w:val="20"/>
        </w:rPr>
      </w:pPr>
    </w:p>
    <w:p w:rsidR="00E33E7A" w:rsidRPr="00AB08FC" w:rsidRDefault="00E33E7A" w:rsidP="0063147D">
      <w:pPr>
        <w:spacing w:after="0" w:line="240" w:lineRule="auto"/>
        <w:jc w:val="both"/>
        <w:rPr>
          <w:rFonts w:ascii="Times New Roman" w:hAnsi="Times New Roman" w:cs="Times New Roman"/>
          <w:sz w:val="20"/>
          <w:szCs w:val="20"/>
        </w:rPr>
      </w:pPr>
    </w:p>
    <w:p w:rsidR="00E33E7A" w:rsidRPr="00AB08FC" w:rsidRDefault="00E33E7A" w:rsidP="00814A93">
      <w:pPr>
        <w:spacing w:after="0" w:line="240" w:lineRule="auto"/>
        <w:jc w:val="both"/>
        <w:rPr>
          <w:rFonts w:ascii="Times New Roman" w:hAnsi="Times New Roman" w:cs="Times New Roman"/>
          <w:b/>
          <w:bCs/>
        </w:rPr>
      </w:pPr>
      <w:r w:rsidRPr="00BA7195">
        <w:rPr>
          <w:rFonts w:ascii="Times New Roman" w:hAnsi="Times New Roman" w:cs="Times New Roman"/>
          <w:b/>
          <w:bCs/>
        </w:rPr>
        <w:t>The link between the macroeconomic outcomes and the size of the advertising market at EU level in 2015</w:t>
      </w:r>
    </w:p>
    <w:p w:rsidR="00E33E7A" w:rsidRPr="00E746FA" w:rsidRDefault="00E33E7A" w:rsidP="00E746FA">
      <w:pPr>
        <w:spacing w:after="0" w:line="240" w:lineRule="auto"/>
        <w:jc w:val="both"/>
        <w:rPr>
          <w:rFonts w:ascii="Times New Roman" w:hAnsi="Times New Roman" w:cs="Times New Roman"/>
          <w:sz w:val="20"/>
          <w:szCs w:val="20"/>
        </w:rPr>
      </w:pPr>
      <w:r w:rsidRPr="00E746FA">
        <w:rPr>
          <w:rFonts w:ascii="Times New Roman" w:hAnsi="Times New Roman" w:cs="Times New Roman"/>
          <w:sz w:val="20"/>
          <w:szCs w:val="20"/>
        </w:rPr>
        <w:t>There is a close link between the level of EU macroeconomic outcomes and the size of the advertising market. Thus, studying the correlation between the Gro</w:t>
      </w:r>
      <w:r>
        <w:rPr>
          <w:rFonts w:ascii="Times New Roman" w:hAnsi="Times New Roman" w:cs="Times New Roman"/>
          <w:sz w:val="20"/>
          <w:szCs w:val="20"/>
        </w:rPr>
        <w:t>s</w:t>
      </w:r>
      <w:r w:rsidRPr="00E746FA">
        <w:rPr>
          <w:rFonts w:ascii="Times New Roman" w:hAnsi="Times New Roman" w:cs="Times New Roman"/>
          <w:sz w:val="20"/>
          <w:szCs w:val="20"/>
        </w:rPr>
        <w:t xml:space="preserve">s </w:t>
      </w:r>
      <w:r>
        <w:rPr>
          <w:rFonts w:ascii="Times New Roman" w:hAnsi="Times New Roman" w:cs="Times New Roman"/>
          <w:sz w:val="20"/>
          <w:szCs w:val="20"/>
        </w:rPr>
        <w:t>d</w:t>
      </w:r>
      <w:r w:rsidRPr="00E746FA">
        <w:rPr>
          <w:rFonts w:ascii="Times New Roman" w:hAnsi="Times New Roman" w:cs="Times New Roman"/>
          <w:sz w:val="20"/>
          <w:szCs w:val="20"/>
        </w:rPr>
        <w:t xml:space="preserve">omestic </w:t>
      </w:r>
      <w:r>
        <w:rPr>
          <w:rFonts w:ascii="Times New Roman" w:hAnsi="Times New Roman" w:cs="Times New Roman"/>
          <w:sz w:val="20"/>
          <w:szCs w:val="20"/>
        </w:rPr>
        <w:t>p</w:t>
      </w:r>
      <w:r w:rsidRPr="00E746FA">
        <w:rPr>
          <w:rFonts w:ascii="Times New Roman" w:hAnsi="Times New Roman" w:cs="Times New Roman"/>
          <w:sz w:val="20"/>
          <w:szCs w:val="20"/>
        </w:rPr>
        <w:t xml:space="preserve">roduct and the gross premiums written from the advertising activity carried out by the 28 EU states, </w:t>
      </w:r>
      <w:r>
        <w:rPr>
          <w:rFonts w:ascii="Times New Roman" w:hAnsi="Times New Roman" w:cs="Times New Roman"/>
          <w:sz w:val="20"/>
          <w:szCs w:val="20"/>
        </w:rPr>
        <w:t xml:space="preserve">we can see that </w:t>
      </w:r>
      <w:r w:rsidRPr="00E746FA">
        <w:rPr>
          <w:rFonts w:ascii="Times New Roman" w:hAnsi="Times New Roman" w:cs="Times New Roman"/>
          <w:sz w:val="20"/>
          <w:szCs w:val="20"/>
        </w:rPr>
        <w:t>there is a direct and strong link</w:t>
      </w:r>
      <w:r>
        <w:rPr>
          <w:rFonts w:ascii="Times New Roman" w:hAnsi="Times New Roman" w:cs="Times New Roman"/>
          <w:sz w:val="20"/>
          <w:szCs w:val="20"/>
        </w:rPr>
        <w:t xml:space="preserve"> between them</w:t>
      </w:r>
      <w:r w:rsidRPr="00E746FA">
        <w:rPr>
          <w:rFonts w:ascii="Times New Roman" w:hAnsi="Times New Roman" w:cs="Times New Roman"/>
          <w:sz w:val="20"/>
          <w:szCs w:val="20"/>
        </w:rPr>
        <w:t xml:space="preserve">, the value of the correlation coefficient </w:t>
      </w:r>
      <w:r w:rsidRPr="003D1DCF">
        <w:rPr>
          <w:rFonts w:ascii="Times New Roman" w:hAnsi="Times New Roman" w:cs="Times New Roman"/>
          <w:i/>
          <w:iCs/>
          <w:sz w:val="20"/>
          <w:szCs w:val="20"/>
        </w:rPr>
        <w:t>r</w:t>
      </w:r>
      <w:r w:rsidRPr="00E746FA">
        <w:rPr>
          <w:rFonts w:ascii="Times New Roman" w:hAnsi="Times New Roman" w:cs="Times New Roman"/>
          <w:sz w:val="20"/>
          <w:szCs w:val="20"/>
        </w:rPr>
        <w:t xml:space="preserve"> being 0.9367.</w:t>
      </w:r>
    </w:p>
    <w:p w:rsidR="00E33E7A" w:rsidRPr="00AB08FC" w:rsidRDefault="00E33E7A" w:rsidP="00E746FA">
      <w:pPr>
        <w:spacing w:after="0" w:line="240" w:lineRule="auto"/>
        <w:jc w:val="both"/>
        <w:rPr>
          <w:rFonts w:ascii="Times New Roman" w:hAnsi="Times New Roman" w:cs="Times New Roman"/>
          <w:sz w:val="20"/>
          <w:szCs w:val="20"/>
        </w:rPr>
      </w:pPr>
      <w:r w:rsidRPr="00E746FA">
        <w:rPr>
          <w:rFonts w:ascii="Times New Roman" w:hAnsi="Times New Roman" w:cs="Times New Roman"/>
          <w:sz w:val="20"/>
          <w:szCs w:val="20"/>
        </w:rPr>
        <w:t xml:space="preserve">Also, applying the significance test </w:t>
      </w:r>
      <w:r w:rsidRPr="003D1DCF">
        <w:rPr>
          <w:rFonts w:ascii="Times New Roman" w:hAnsi="Times New Roman" w:cs="Times New Roman"/>
          <w:i/>
          <w:iCs/>
          <w:sz w:val="20"/>
          <w:szCs w:val="20"/>
        </w:rPr>
        <w:t>t</w:t>
      </w:r>
      <w:r w:rsidRPr="00E746FA">
        <w:rPr>
          <w:rFonts w:ascii="Times New Roman" w:hAnsi="Times New Roman" w:cs="Times New Roman"/>
          <w:sz w:val="20"/>
          <w:szCs w:val="20"/>
        </w:rPr>
        <w:t xml:space="preserve"> we obtain a calculated value </w:t>
      </w:r>
      <w:r w:rsidRPr="003D1DCF">
        <w:rPr>
          <w:rFonts w:ascii="Times New Roman" w:hAnsi="Times New Roman" w:cs="Times New Roman"/>
          <w:i/>
          <w:iCs/>
          <w:sz w:val="20"/>
          <w:szCs w:val="20"/>
        </w:rPr>
        <w:t>t</w:t>
      </w:r>
      <w:r w:rsidRPr="00E746FA">
        <w:rPr>
          <w:rFonts w:ascii="Times New Roman" w:hAnsi="Times New Roman" w:cs="Times New Roman"/>
          <w:sz w:val="20"/>
          <w:szCs w:val="20"/>
        </w:rPr>
        <w:t xml:space="preserve"> = 13.64, which for a significance level </w:t>
      </w:r>
      <w:r w:rsidRPr="003D1DCF">
        <w:rPr>
          <w:rFonts w:ascii="Times New Roman" w:hAnsi="Times New Roman" w:cs="Times New Roman"/>
          <w:i/>
          <w:iCs/>
          <w:sz w:val="20"/>
          <w:szCs w:val="20"/>
        </w:rPr>
        <w:t>α</w:t>
      </w:r>
      <w:r w:rsidRPr="00E746FA">
        <w:rPr>
          <w:rFonts w:ascii="Times New Roman" w:hAnsi="Times New Roman" w:cs="Times New Roman"/>
          <w:sz w:val="20"/>
          <w:szCs w:val="20"/>
        </w:rPr>
        <w:t xml:space="preserve"> = 0.0001 and</w:t>
      </w:r>
      <w:r>
        <w:rPr>
          <w:rFonts w:ascii="Times New Roman" w:hAnsi="Times New Roman" w:cs="Times New Roman"/>
          <w:sz w:val="20"/>
          <w:szCs w:val="20"/>
        </w:rPr>
        <w:t xml:space="preserve"> 26 degrees of freedom attests</w:t>
      </w:r>
      <w:r w:rsidRPr="00E746FA">
        <w:rPr>
          <w:rFonts w:ascii="Times New Roman" w:hAnsi="Times New Roman" w:cs="Times New Roman"/>
          <w:sz w:val="20"/>
          <w:szCs w:val="20"/>
        </w:rPr>
        <w:t xml:space="preserve"> a significant correlation coefficient (the corresponding theoretical value </w:t>
      </w:r>
      <w:r w:rsidRPr="003D1DCF">
        <w:rPr>
          <w:rFonts w:ascii="Times New Roman" w:hAnsi="Times New Roman" w:cs="Times New Roman"/>
          <w:i/>
          <w:iCs/>
          <w:sz w:val="20"/>
          <w:szCs w:val="20"/>
        </w:rPr>
        <w:t>t</w:t>
      </w:r>
      <w:r w:rsidRPr="00E746FA">
        <w:rPr>
          <w:rFonts w:ascii="Times New Roman" w:hAnsi="Times New Roman" w:cs="Times New Roman"/>
          <w:sz w:val="20"/>
          <w:szCs w:val="20"/>
        </w:rPr>
        <w:t xml:space="preserve"> is 4.587). (Figure 7 and Table 4)</w:t>
      </w:r>
    </w:p>
    <w:p w:rsidR="00E33E7A" w:rsidRPr="00AB08FC" w:rsidRDefault="00E33E7A" w:rsidP="00A15675">
      <w:pPr>
        <w:spacing w:after="0" w:line="240" w:lineRule="auto"/>
        <w:jc w:val="both"/>
        <w:rPr>
          <w:rFonts w:ascii="Times New Roman" w:hAnsi="Times New Roman" w:cs="Times New Roman"/>
          <w:sz w:val="20"/>
          <w:szCs w:val="20"/>
        </w:rPr>
      </w:pPr>
    </w:p>
    <w:p w:rsidR="00E33E7A" w:rsidRPr="00AB08FC" w:rsidRDefault="00E33E7A" w:rsidP="000A4D01">
      <w:pPr>
        <w:spacing w:after="0" w:line="240" w:lineRule="auto"/>
        <w:jc w:val="center"/>
        <w:rPr>
          <w:rFonts w:ascii="Times New Roman" w:hAnsi="Times New Roman" w:cs="Times New Roman"/>
          <w:sz w:val="20"/>
          <w:szCs w:val="20"/>
        </w:rPr>
      </w:pPr>
      <w:r w:rsidRPr="007360A2">
        <w:rPr>
          <w:rFonts w:ascii="Times New Roman" w:hAnsi="Times New Roman" w:cs="Times New Roman"/>
          <w:noProof/>
          <w:sz w:val="20"/>
          <w:szCs w:val="20"/>
        </w:rPr>
        <w:object w:dxaOrig="6048" w:dyaOrig="2607">
          <v:shape id="_x0000_i1031" type="#_x0000_t75" style="width:302.25pt;height:144.75pt" o:ole="">
            <v:imagedata r:id="rId20" o:title=""/>
            <o:lock v:ext="edit" aspectratio="f"/>
          </v:shape>
          <o:OLEObject Type="Embed" ProgID="Excel.Chart.8" ShapeID="_x0000_i1031" DrawAspect="Content" ObjectID="_1561617764" r:id="rId21"/>
        </w:object>
      </w:r>
    </w:p>
    <w:p w:rsidR="00E33E7A" w:rsidRPr="000D4F2A" w:rsidRDefault="00E33E7A" w:rsidP="003B6842">
      <w:pPr>
        <w:spacing w:after="0" w:line="240" w:lineRule="auto"/>
        <w:jc w:val="center"/>
        <w:rPr>
          <w:rFonts w:ascii="Times New Roman" w:hAnsi="Times New Roman" w:cs="Times New Roman"/>
          <w:b/>
          <w:bCs/>
          <w:sz w:val="20"/>
          <w:szCs w:val="20"/>
        </w:rPr>
      </w:pPr>
      <w:bookmarkStart w:id="0" w:name="OLE_LINK15"/>
      <w:bookmarkStart w:id="1" w:name="OLE_LINK16"/>
      <w:r w:rsidRPr="000D4F2A">
        <w:rPr>
          <w:rFonts w:ascii="Times New Roman" w:hAnsi="Times New Roman" w:cs="Times New Roman"/>
          <w:b/>
          <w:bCs/>
          <w:sz w:val="20"/>
          <w:szCs w:val="20"/>
        </w:rPr>
        <w:t xml:space="preserve">Figure 7. Link between Gross </w:t>
      </w:r>
      <w:r>
        <w:rPr>
          <w:rFonts w:ascii="Times New Roman" w:hAnsi="Times New Roman" w:cs="Times New Roman"/>
          <w:b/>
          <w:bCs/>
          <w:sz w:val="20"/>
          <w:szCs w:val="20"/>
        </w:rPr>
        <w:t>d</w:t>
      </w:r>
      <w:r w:rsidRPr="000D4F2A">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0D4F2A">
        <w:rPr>
          <w:rFonts w:ascii="Times New Roman" w:hAnsi="Times New Roman" w:cs="Times New Roman"/>
          <w:b/>
          <w:bCs/>
          <w:sz w:val="20"/>
          <w:szCs w:val="20"/>
        </w:rPr>
        <w:t xml:space="preserve">roduct and Turnover or </w:t>
      </w:r>
      <w:r>
        <w:rPr>
          <w:rFonts w:ascii="Times New Roman" w:hAnsi="Times New Roman" w:cs="Times New Roman"/>
          <w:b/>
          <w:bCs/>
          <w:sz w:val="20"/>
          <w:szCs w:val="20"/>
        </w:rPr>
        <w:t>g</w:t>
      </w:r>
      <w:r w:rsidRPr="000D4F2A">
        <w:rPr>
          <w:rFonts w:ascii="Times New Roman" w:hAnsi="Times New Roman" w:cs="Times New Roman"/>
          <w:b/>
          <w:bCs/>
          <w:sz w:val="20"/>
          <w:szCs w:val="20"/>
        </w:rPr>
        <w:t xml:space="preserve">ross </w:t>
      </w:r>
      <w:r>
        <w:rPr>
          <w:rFonts w:ascii="Times New Roman" w:hAnsi="Times New Roman" w:cs="Times New Roman"/>
          <w:b/>
          <w:bCs/>
          <w:sz w:val="20"/>
          <w:szCs w:val="20"/>
        </w:rPr>
        <w:t>p</w:t>
      </w:r>
      <w:r w:rsidRPr="000D4F2A">
        <w:rPr>
          <w:rFonts w:ascii="Times New Roman" w:hAnsi="Times New Roman" w:cs="Times New Roman"/>
          <w:b/>
          <w:bCs/>
          <w:sz w:val="20"/>
          <w:szCs w:val="20"/>
        </w:rPr>
        <w:t xml:space="preserve">remium </w:t>
      </w:r>
      <w:r>
        <w:rPr>
          <w:rFonts w:ascii="Times New Roman" w:hAnsi="Times New Roman" w:cs="Times New Roman"/>
          <w:b/>
          <w:bCs/>
          <w:sz w:val="20"/>
          <w:szCs w:val="20"/>
        </w:rPr>
        <w:t>w</w:t>
      </w:r>
      <w:r w:rsidRPr="000D4F2A">
        <w:rPr>
          <w:rFonts w:ascii="Times New Roman" w:hAnsi="Times New Roman" w:cs="Times New Roman"/>
          <w:b/>
          <w:bCs/>
          <w:sz w:val="20"/>
          <w:szCs w:val="20"/>
        </w:rPr>
        <w:t xml:space="preserve">riting in advertising in EU-28 </w:t>
      </w:r>
      <w:r>
        <w:rPr>
          <w:rFonts w:ascii="Times New Roman" w:hAnsi="Times New Roman" w:cs="Times New Roman"/>
          <w:b/>
          <w:bCs/>
          <w:sz w:val="20"/>
          <w:szCs w:val="20"/>
        </w:rPr>
        <w:t>c</w:t>
      </w:r>
      <w:r w:rsidRPr="000D4F2A">
        <w:rPr>
          <w:rFonts w:ascii="Times New Roman" w:hAnsi="Times New Roman" w:cs="Times New Roman"/>
          <w:b/>
          <w:bCs/>
          <w:sz w:val="20"/>
          <w:szCs w:val="20"/>
        </w:rPr>
        <w:t>ountries in 2015</w:t>
      </w:r>
    </w:p>
    <w:p w:rsidR="00E33E7A" w:rsidRPr="000D4F2A" w:rsidRDefault="00E33E7A" w:rsidP="003B6842">
      <w:pPr>
        <w:spacing w:after="0" w:line="240" w:lineRule="auto"/>
        <w:jc w:val="center"/>
        <w:rPr>
          <w:rFonts w:ascii="Times New Roman" w:hAnsi="Times New Roman" w:cs="Times New Roman"/>
          <w:sz w:val="16"/>
          <w:szCs w:val="16"/>
        </w:rPr>
      </w:pPr>
      <w:r w:rsidRPr="000D4F2A">
        <w:rPr>
          <w:rFonts w:ascii="Times New Roman" w:hAnsi="Times New Roman" w:cs="Times New Roman"/>
          <w:sz w:val="16"/>
          <w:szCs w:val="16"/>
        </w:rPr>
        <w:t xml:space="preserve">Source: personal processing from </w:t>
      </w:r>
      <w:r w:rsidRPr="000D4F2A">
        <w:rPr>
          <w:rFonts w:ascii="Times New Roman" w:hAnsi="Times New Roman" w:cs="Times New Roman"/>
          <w:i/>
          <w:iCs/>
          <w:sz w:val="16"/>
          <w:szCs w:val="16"/>
        </w:rPr>
        <w:t>Eurostat</w:t>
      </w:r>
      <w:r>
        <w:rPr>
          <w:rFonts w:ascii="Times New Roman" w:hAnsi="Times New Roman" w:cs="Times New Roman"/>
          <w:sz w:val="16"/>
          <w:szCs w:val="16"/>
        </w:rPr>
        <w:t xml:space="preserve"> (</w:t>
      </w:r>
      <w:r w:rsidRPr="00AB08FC">
        <w:rPr>
          <w:rFonts w:ascii="Times New Roman" w:hAnsi="Times New Roman" w:cs="Times New Roman"/>
          <w:sz w:val="16"/>
          <w:szCs w:val="16"/>
        </w:rPr>
        <w:t>2017)</w:t>
      </w:r>
    </w:p>
    <w:p w:rsidR="00E33E7A" w:rsidRPr="000D4F2A" w:rsidRDefault="00E33E7A" w:rsidP="006932C1">
      <w:pPr>
        <w:spacing w:after="0" w:line="240" w:lineRule="auto"/>
        <w:jc w:val="center"/>
        <w:rPr>
          <w:rFonts w:ascii="Times New Roman" w:hAnsi="Times New Roman" w:cs="Times New Roman"/>
          <w:sz w:val="16"/>
          <w:szCs w:val="16"/>
        </w:rPr>
      </w:pPr>
      <w:r w:rsidRPr="000D4F2A">
        <w:rPr>
          <w:rFonts w:ascii="Times New Roman" w:hAnsi="Times New Roman" w:cs="Times New Roman"/>
          <w:sz w:val="16"/>
          <w:szCs w:val="16"/>
        </w:rPr>
        <w:t>Note: for Ireland has been used</w:t>
      </w:r>
      <w:r>
        <w:rPr>
          <w:rFonts w:ascii="Times New Roman" w:hAnsi="Times New Roman" w:cs="Times New Roman"/>
          <w:sz w:val="16"/>
          <w:szCs w:val="16"/>
        </w:rPr>
        <w:t xml:space="preserve"> </w:t>
      </w:r>
      <w:r w:rsidRPr="003D1DCF">
        <w:rPr>
          <w:rFonts w:ascii="Times New Roman" w:hAnsi="Times New Roman" w:cs="Times New Roman"/>
          <w:sz w:val="16"/>
          <w:szCs w:val="16"/>
        </w:rPr>
        <w:t>turnover or gross premiums written</w:t>
      </w:r>
      <w:r w:rsidRPr="000D4F2A">
        <w:rPr>
          <w:rFonts w:ascii="Times New Roman" w:hAnsi="Times New Roman" w:cs="Times New Roman"/>
          <w:b/>
          <w:bCs/>
          <w:sz w:val="16"/>
          <w:szCs w:val="16"/>
        </w:rPr>
        <w:t xml:space="preserve"> </w:t>
      </w:r>
      <w:r w:rsidRPr="000D4F2A">
        <w:rPr>
          <w:rFonts w:ascii="Times New Roman" w:hAnsi="Times New Roman" w:cs="Times New Roman"/>
          <w:sz w:val="16"/>
          <w:szCs w:val="16"/>
        </w:rPr>
        <w:t>for</w:t>
      </w:r>
      <w:r>
        <w:rPr>
          <w:rFonts w:ascii="Times New Roman" w:hAnsi="Times New Roman" w:cs="Times New Roman"/>
          <w:sz w:val="16"/>
          <w:szCs w:val="16"/>
        </w:rPr>
        <w:t xml:space="preserve"> 2014</w:t>
      </w:r>
    </w:p>
    <w:bookmarkEnd w:id="0"/>
    <w:bookmarkEnd w:id="1"/>
    <w:p w:rsidR="00E33E7A" w:rsidRPr="00AB08FC" w:rsidRDefault="00E33E7A" w:rsidP="00A15675">
      <w:pPr>
        <w:spacing w:after="0" w:line="240" w:lineRule="auto"/>
        <w:jc w:val="both"/>
        <w:rPr>
          <w:rFonts w:ascii="Times New Roman" w:hAnsi="Times New Roman" w:cs="Times New Roman"/>
          <w:sz w:val="20"/>
          <w:szCs w:val="20"/>
        </w:rPr>
      </w:pPr>
    </w:p>
    <w:p w:rsidR="00E33E7A" w:rsidRPr="00AB08FC" w:rsidRDefault="00E33E7A" w:rsidP="00EF0D2C">
      <w:pPr>
        <w:spacing w:after="0" w:line="240" w:lineRule="auto"/>
        <w:jc w:val="both"/>
        <w:rPr>
          <w:rFonts w:ascii="Times New Roman" w:hAnsi="Times New Roman" w:cs="Times New Roman"/>
          <w:sz w:val="20"/>
          <w:szCs w:val="20"/>
        </w:rPr>
      </w:pPr>
      <w:r w:rsidRPr="000D4F2A">
        <w:rPr>
          <w:rFonts w:ascii="Times New Roman" w:hAnsi="Times New Roman" w:cs="Times New Roman"/>
          <w:sz w:val="20"/>
          <w:szCs w:val="20"/>
        </w:rPr>
        <w:t>Similarly, studying the link between Gro</w:t>
      </w:r>
      <w:r>
        <w:rPr>
          <w:rFonts w:ascii="Times New Roman" w:hAnsi="Times New Roman" w:cs="Times New Roman"/>
          <w:sz w:val="20"/>
          <w:szCs w:val="20"/>
        </w:rPr>
        <w:t>s</w:t>
      </w:r>
      <w:r w:rsidRPr="000D4F2A">
        <w:rPr>
          <w:rFonts w:ascii="Times New Roman" w:hAnsi="Times New Roman" w:cs="Times New Roman"/>
          <w:sz w:val="20"/>
          <w:szCs w:val="20"/>
        </w:rPr>
        <w:t xml:space="preserve">s </w:t>
      </w:r>
      <w:r>
        <w:rPr>
          <w:rFonts w:ascii="Times New Roman" w:hAnsi="Times New Roman" w:cs="Times New Roman"/>
          <w:sz w:val="20"/>
          <w:szCs w:val="20"/>
        </w:rPr>
        <w:t>d</w:t>
      </w:r>
      <w:r w:rsidRPr="000D4F2A">
        <w:rPr>
          <w:rFonts w:ascii="Times New Roman" w:hAnsi="Times New Roman" w:cs="Times New Roman"/>
          <w:sz w:val="20"/>
          <w:szCs w:val="20"/>
        </w:rPr>
        <w:t xml:space="preserve">omestic </w:t>
      </w:r>
      <w:r>
        <w:rPr>
          <w:rFonts w:ascii="Times New Roman" w:hAnsi="Times New Roman" w:cs="Times New Roman"/>
          <w:sz w:val="20"/>
          <w:szCs w:val="20"/>
        </w:rPr>
        <w:t>p</w:t>
      </w:r>
      <w:r w:rsidRPr="000D4F2A">
        <w:rPr>
          <w:rFonts w:ascii="Times New Roman" w:hAnsi="Times New Roman" w:cs="Times New Roman"/>
          <w:sz w:val="20"/>
          <w:szCs w:val="20"/>
        </w:rPr>
        <w:t xml:space="preserve">roduct and the gross premiums written from advertising activity by category of countries - the old and the new EU member states, </w:t>
      </w:r>
      <w:r>
        <w:rPr>
          <w:rFonts w:ascii="Times New Roman" w:hAnsi="Times New Roman" w:cs="Times New Roman"/>
          <w:sz w:val="20"/>
          <w:szCs w:val="20"/>
        </w:rPr>
        <w:t>we can see</w:t>
      </w:r>
      <w:r w:rsidRPr="000D4F2A">
        <w:rPr>
          <w:rFonts w:ascii="Times New Roman" w:hAnsi="Times New Roman" w:cs="Times New Roman"/>
          <w:sz w:val="20"/>
          <w:szCs w:val="20"/>
        </w:rPr>
        <w:t xml:space="preserve"> in both cases the manifestation of direct and strong links, </w:t>
      </w:r>
      <w:r>
        <w:rPr>
          <w:rFonts w:ascii="Times New Roman" w:hAnsi="Times New Roman" w:cs="Times New Roman"/>
          <w:sz w:val="20"/>
          <w:szCs w:val="20"/>
        </w:rPr>
        <w:t>for a level of</w:t>
      </w:r>
      <w:r w:rsidRPr="000D4F2A">
        <w:rPr>
          <w:rFonts w:ascii="Times New Roman" w:hAnsi="Times New Roman" w:cs="Times New Roman"/>
          <w:sz w:val="20"/>
          <w:szCs w:val="20"/>
        </w:rPr>
        <w:t xml:space="preserve"> significance</w:t>
      </w:r>
      <w:r>
        <w:rPr>
          <w:rFonts w:ascii="Times New Roman" w:hAnsi="Times New Roman" w:cs="Times New Roman"/>
          <w:sz w:val="20"/>
          <w:szCs w:val="20"/>
        </w:rPr>
        <w:t xml:space="preserve"> with the</w:t>
      </w:r>
      <w:r w:rsidRPr="000D4F2A">
        <w:rPr>
          <w:rFonts w:ascii="Times New Roman" w:hAnsi="Times New Roman" w:cs="Times New Roman"/>
          <w:sz w:val="20"/>
          <w:szCs w:val="20"/>
        </w:rPr>
        <w:t xml:space="preserve"> level of 0.0001. In comparison, there is a stronger link between the two </w:t>
      </w:r>
      <w:r>
        <w:rPr>
          <w:rFonts w:ascii="Times New Roman" w:hAnsi="Times New Roman" w:cs="Times New Roman"/>
          <w:sz w:val="20"/>
          <w:szCs w:val="20"/>
        </w:rPr>
        <w:t xml:space="preserve">variables for the </w:t>
      </w:r>
      <w:r w:rsidRPr="000D4F2A">
        <w:rPr>
          <w:rFonts w:ascii="Times New Roman" w:hAnsi="Times New Roman" w:cs="Times New Roman"/>
          <w:sz w:val="20"/>
          <w:szCs w:val="20"/>
        </w:rPr>
        <w:t xml:space="preserve">new EU member states (correlation coefficient </w:t>
      </w:r>
      <w:r w:rsidRPr="003D1DCF">
        <w:rPr>
          <w:rFonts w:ascii="Times New Roman" w:hAnsi="Times New Roman" w:cs="Times New Roman"/>
          <w:i/>
          <w:iCs/>
          <w:sz w:val="20"/>
          <w:szCs w:val="20"/>
        </w:rPr>
        <w:t>r</w:t>
      </w:r>
      <w:r w:rsidRPr="000D4F2A">
        <w:rPr>
          <w:rFonts w:ascii="Times New Roman" w:hAnsi="Times New Roman" w:cs="Times New Roman"/>
          <w:sz w:val="20"/>
          <w:szCs w:val="20"/>
        </w:rPr>
        <w:t xml:space="preserve"> calculated for the new EU member states with the value of 0.9791 compared to 0.9197 corresponding to the EU - 15 countries). (Figure 8 and Table 4)</w:t>
      </w:r>
    </w:p>
    <w:p w:rsidR="00E33E7A" w:rsidRPr="00AB08FC" w:rsidRDefault="00E33E7A" w:rsidP="00C26E2E">
      <w:pPr>
        <w:spacing w:after="0" w:line="240" w:lineRule="auto"/>
        <w:jc w:val="center"/>
        <w:rPr>
          <w:rFonts w:ascii="Times New Roman" w:hAnsi="Times New Roman" w:cs="Times New Roman"/>
          <w:b/>
          <w:bCs/>
        </w:rPr>
      </w:pPr>
    </w:p>
    <w:tbl>
      <w:tblPr>
        <w:tblW w:w="0" w:type="auto"/>
        <w:tblInd w:w="-106" w:type="dxa"/>
        <w:tblLayout w:type="fixed"/>
        <w:tblLook w:val="01E0"/>
      </w:tblPr>
      <w:tblGrid>
        <w:gridCol w:w="3628"/>
        <w:gridCol w:w="3505"/>
      </w:tblGrid>
      <w:tr w:rsidR="00E33E7A" w:rsidRPr="00AB08FC">
        <w:trPr>
          <w:trHeight w:val="2951"/>
        </w:trPr>
        <w:tc>
          <w:tcPr>
            <w:tcW w:w="3628" w:type="dxa"/>
          </w:tcPr>
          <w:p w:rsidR="00E33E7A" w:rsidRPr="007360A2" w:rsidRDefault="00E33E7A" w:rsidP="007360A2">
            <w:pPr>
              <w:spacing w:after="0" w:line="240" w:lineRule="auto"/>
              <w:jc w:val="center"/>
              <w:rPr>
                <w:rFonts w:ascii="Times New Roman" w:hAnsi="Times New Roman" w:cs="Times New Roman"/>
                <w:b/>
                <w:bCs/>
                <w:sz w:val="20"/>
                <w:szCs w:val="20"/>
              </w:rPr>
            </w:pPr>
            <w:r w:rsidRPr="007360A2">
              <w:rPr>
                <w:rFonts w:ascii="Times New Roman" w:hAnsi="Times New Roman" w:cs="Times New Roman"/>
                <w:b/>
                <w:bCs/>
                <w:noProof/>
                <w:sz w:val="20"/>
                <w:szCs w:val="20"/>
              </w:rPr>
              <w:object w:dxaOrig="3351" w:dyaOrig="2782">
                <v:shape id="_x0000_i1032" type="#_x0000_t75" style="width:171.75pt;height:157.5pt" o:ole="">
                  <v:imagedata r:id="rId22" o:title="" croptop="-1531f" cropbottom="-1625f" cropleft="-685f" cropright="-821f"/>
                  <o:lock v:ext="edit" aspectratio="f"/>
                </v:shape>
                <o:OLEObject Type="Embed" ProgID="Excel.Chart.8" ShapeID="_x0000_i1032" DrawAspect="Content" ObjectID="_1561617765" r:id="rId23"/>
              </w:object>
            </w:r>
            <w:r w:rsidRPr="007360A2">
              <w:rPr>
                <w:rFonts w:ascii="Times New Roman" w:hAnsi="Times New Roman" w:cs="Times New Roman"/>
                <w:b/>
                <w:bCs/>
                <w:sz w:val="20"/>
                <w:szCs w:val="20"/>
              </w:rPr>
              <w:t>E</w:t>
            </w:r>
            <w:r>
              <w:rPr>
                <w:rFonts w:ascii="Times New Roman" w:hAnsi="Times New Roman" w:cs="Times New Roman"/>
                <w:b/>
                <w:bCs/>
                <w:sz w:val="20"/>
                <w:szCs w:val="20"/>
              </w:rPr>
              <w:t>U</w:t>
            </w:r>
            <w:r w:rsidRPr="007360A2">
              <w:rPr>
                <w:rFonts w:ascii="Times New Roman" w:hAnsi="Times New Roman" w:cs="Times New Roman"/>
                <w:b/>
                <w:bCs/>
                <w:sz w:val="20"/>
                <w:szCs w:val="20"/>
              </w:rPr>
              <w:t xml:space="preserve"> – 15</w:t>
            </w:r>
          </w:p>
        </w:tc>
        <w:tc>
          <w:tcPr>
            <w:tcW w:w="3505" w:type="dxa"/>
          </w:tcPr>
          <w:p w:rsidR="00E33E7A" w:rsidRPr="007360A2" w:rsidRDefault="00E33E7A" w:rsidP="007360A2">
            <w:pPr>
              <w:spacing w:after="0" w:line="240" w:lineRule="auto"/>
              <w:jc w:val="center"/>
              <w:rPr>
                <w:rFonts w:ascii="Times New Roman" w:hAnsi="Times New Roman" w:cs="Times New Roman"/>
                <w:b/>
                <w:bCs/>
                <w:sz w:val="20"/>
                <w:szCs w:val="20"/>
              </w:rPr>
            </w:pPr>
            <w:r w:rsidRPr="007360A2">
              <w:rPr>
                <w:rFonts w:ascii="Times New Roman" w:hAnsi="Times New Roman" w:cs="Times New Roman"/>
                <w:b/>
                <w:bCs/>
                <w:noProof/>
                <w:sz w:val="20"/>
                <w:szCs w:val="20"/>
              </w:rPr>
              <w:object w:dxaOrig="3378" w:dyaOrig="2849">
                <v:shape id="_x0000_i1033" type="#_x0000_t75" style="width:171pt;height:156.75pt" o:ole="">
                  <v:imagedata r:id="rId24" o:title="" croptop="-2001f" cropbottom="-1794f" cropleft="-873f" cropright="-660f"/>
                  <o:lock v:ext="edit" aspectratio="f"/>
                </v:shape>
                <o:OLEObject Type="Embed" ProgID="Excel.Chart.8" ShapeID="_x0000_i1033" DrawAspect="Content" ObjectID="_1561617766" r:id="rId25"/>
              </w:object>
            </w:r>
            <w:r w:rsidRPr="00C70F70">
              <w:rPr>
                <w:rFonts w:ascii="Times New Roman" w:hAnsi="Times New Roman" w:cs="Times New Roman"/>
                <w:b/>
                <w:bCs/>
                <w:sz w:val="20"/>
                <w:szCs w:val="20"/>
              </w:rPr>
              <w:t xml:space="preserve"> New EU Member States</w:t>
            </w:r>
          </w:p>
        </w:tc>
      </w:tr>
    </w:tbl>
    <w:p w:rsidR="00E33E7A" w:rsidRPr="00AB08FC" w:rsidRDefault="00E33E7A" w:rsidP="003B6842">
      <w:pPr>
        <w:spacing w:after="0" w:line="240" w:lineRule="auto"/>
        <w:jc w:val="center"/>
        <w:rPr>
          <w:rFonts w:ascii="Times New Roman" w:hAnsi="Times New Roman" w:cs="Times New Roman"/>
          <w:b/>
          <w:bCs/>
          <w:sz w:val="20"/>
          <w:szCs w:val="20"/>
        </w:rPr>
      </w:pPr>
      <w:r w:rsidRPr="00A019BA">
        <w:rPr>
          <w:rFonts w:ascii="Times New Roman" w:hAnsi="Times New Roman" w:cs="Times New Roman"/>
          <w:b/>
          <w:bCs/>
          <w:sz w:val="20"/>
          <w:szCs w:val="20"/>
        </w:rPr>
        <w:t xml:space="preserve">Figure 8. Relationship between Gross </w:t>
      </w:r>
      <w:r>
        <w:rPr>
          <w:rFonts w:ascii="Times New Roman" w:hAnsi="Times New Roman" w:cs="Times New Roman"/>
          <w:b/>
          <w:bCs/>
          <w:sz w:val="20"/>
          <w:szCs w:val="20"/>
        </w:rPr>
        <w:t>d</w:t>
      </w:r>
      <w:r w:rsidRPr="00A019BA">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A019BA">
        <w:rPr>
          <w:rFonts w:ascii="Times New Roman" w:hAnsi="Times New Roman" w:cs="Times New Roman"/>
          <w:b/>
          <w:bCs/>
          <w:sz w:val="20"/>
          <w:szCs w:val="20"/>
        </w:rPr>
        <w:t xml:space="preserve">roduct and </w:t>
      </w:r>
      <w:r>
        <w:rPr>
          <w:rFonts w:ascii="Times New Roman" w:hAnsi="Times New Roman" w:cs="Times New Roman"/>
          <w:b/>
          <w:bCs/>
          <w:sz w:val="20"/>
          <w:szCs w:val="20"/>
        </w:rPr>
        <w:t>t</w:t>
      </w:r>
      <w:r w:rsidRPr="00A019BA">
        <w:rPr>
          <w:rFonts w:ascii="Times New Roman" w:hAnsi="Times New Roman" w:cs="Times New Roman"/>
          <w:b/>
          <w:bCs/>
          <w:sz w:val="20"/>
          <w:szCs w:val="20"/>
        </w:rPr>
        <w:t xml:space="preserve">urnover or Gross </w:t>
      </w:r>
      <w:r>
        <w:rPr>
          <w:rFonts w:ascii="Times New Roman" w:hAnsi="Times New Roman" w:cs="Times New Roman"/>
          <w:b/>
          <w:bCs/>
          <w:sz w:val="20"/>
          <w:szCs w:val="20"/>
        </w:rPr>
        <w:t>p</w:t>
      </w:r>
      <w:r w:rsidRPr="00A019BA">
        <w:rPr>
          <w:rFonts w:ascii="Times New Roman" w:hAnsi="Times New Roman" w:cs="Times New Roman"/>
          <w:b/>
          <w:bCs/>
          <w:sz w:val="20"/>
          <w:szCs w:val="20"/>
        </w:rPr>
        <w:t xml:space="preserve">remiums </w:t>
      </w:r>
      <w:r>
        <w:rPr>
          <w:rFonts w:ascii="Times New Roman" w:hAnsi="Times New Roman" w:cs="Times New Roman"/>
          <w:b/>
          <w:bCs/>
          <w:sz w:val="20"/>
          <w:szCs w:val="20"/>
        </w:rPr>
        <w:t>w</w:t>
      </w:r>
      <w:r w:rsidRPr="00A019BA">
        <w:rPr>
          <w:rFonts w:ascii="Times New Roman" w:hAnsi="Times New Roman" w:cs="Times New Roman"/>
          <w:b/>
          <w:bCs/>
          <w:sz w:val="20"/>
          <w:szCs w:val="20"/>
        </w:rPr>
        <w:t xml:space="preserve">ritten </w:t>
      </w:r>
      <w:r>
        <w:rPr>
          <w:rFonts w:ascii="Times New Roman" w:hAnsi="Times New Roman" w:cs="Times New Roman"/>
          <w:b/>
          <w:bCs/>
          <w:sz w:val="20"/>
          <w:szCs w:val="20"/>
        </w:rPr>
        <w:t>in a</w:t>
      </w:r>
      <w:r w:rsidRPr="00A019BA">
        <w:rPr>
          <w:rFonts w:ascii="Times New Roman" w:hAnsi="Times New Roman" w:cs="Times New Roman"/>
          <w:b/>
          <w:bCs/>
          <w:sz w:val="20"/>
          <w:szCs w:val="20"/>
        </w:rPr>
        <w:t xml:space="preserve">dvertising by </w:t>
      </w:r>
      <w:r>
        <w:rPr>
          <w:rFonts w:ascii="Times New Roman" w:hAnsi="Times New Roman" w:cs="Times New Roman"/>
          <w:b/>
          <w:bCs/>
          <w:sz w:val="20"/>
          <w:szCs w:val="20"/>
        </w:rPr>
        <w:t>c</w:t>
      </w:r>
      <w:r w:rsidRPr="00A019BA">
        <w:rPr>
          <w:rFonts w:ascii="Times New Roman" w:hAnsi="Times New Roman" w:cs="Times New Roman"/>
          <w:b/>
          <w:bCs/>
          <w:sz w:val="20"/>
          <w:szCs w:val="20"/>
        </w:rPr>
        <w:t xml:space="preserve">ategories of </w:t>
      </w:r>
      <w:r>
        <w:rPr>
          <w:rFonts w:ascii="Times New Roman" w:hAnsi="Times New Roman" w:cs="Times New Roman"/>
          <w:b/>
          <w:bCs/>
          <w:sz w:val="20"/>
          <w:szCs w:val="20"/>
        </w:rPr>
        <w:t>c</w:t>
      </w:r>
      <w:r w:rsidRPr="00A019BA">
        <w:rPr>
          <w:rFonts w:ascii="Times New Roman" w:hAnsi="Times New Roman" w:cs="Times New Roman"/>
          <w:b/>
          <w:bCs/>
          <w:sz w:val="20"/>
          <w:szCs w:val="20"/>
        </w:rPr>
        <w:t xml:space="preserve">ountries - </w:t>
      </w:r>
      <w:r>
        <w:rPr>
          <w:rFonts w:ascii="Times New Roman" w:hAnsi="Times New Roman" w:cs="Times New Roman"/>
          <w:b/>
          <w:bCs/>
          <w:sz w:val="20"/>
          <w:szCs w:val="20"/>
        </w:rPr>
        <w:t>o</w:t>
      </w:r>
      <w:r w:rsidRPr="00A019BA">
        <w:rPr>
          <w:rFonts w:ascii="Times New Roman" w:hAnsi="Times New Roman" w:cs="Times New Roman"/>
          <w:b/>
          <w:bCs/>
          <w:sz w:val="20"/>
          <w:szCs w:val="20"/>
        </w:rPr>
        <w:t xml:space="preserve">ld and </w:t>
      </w:r>
      <w:r>
        <w:rPr>
          <w:rFonts w:ascii="Times New Roman" w:hAnsi="Times New Roman" w:cs="Times New Roman"/>
          <w:b/>
          <w:bCs/>
          <w:sz w:val="20"/>
          <w:szCs w:val="20"/>
        </w:rPr>
        <w:t>n</w:t>
      </w:r>
      <w:r w:rsidRPr="00A019BA">
        <w:rPr>
          <w:rFonts w:ascii="Times New Roman" w:hAnsi="Times New Roman" w:cs="Times New Roman"/>
          <w:b/>
          <w:bCs/>
          <w:sz w:val="20"/>
          <w:szCs w:val="20"/>
        </w:rPr>
        <w:t xml:space="preserve">ew EU </w:t>
      </w:r>
      <w:r>
        <w:rPr>
          <w:rFonts w:ascii="Times New Roman" w:hAnsi="Times New Roman" w:cs="Times New Roman"/>
          <w:b/>
          <w:bCs/>
          <w:sz w:val="20"/>
          <w:szCs w:val="20"/>
        </w:rPr>
        <w:t>m</w:t>
      </w:r>
      <w:r w:rsidRPr="00A019BA">
        <w:rPr>
          <w:rFonts w:ascii="Times New Roman" w:hAnsi="Times New Roman" w:cs="Times New Roman"/>
          <w:b/>
          <w:bCs/>
          <w:sz w:val="20"/>
          <w:szCs w:val="20"/>
        </w:rPr>
        <w:t>embers in 2015</w:t>
      </w:r>
    </w:p>
    <w:p w:rsidR="00E33E7A" w:rsidRPr="00AB08FC" w:rsidRDefault="00E33E7A" w:rsidP="003B6842">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 xml:space="preserve">Source: personal processing from </w:t>
      </w:r>
      <w:r w:rsidRPr="00AB08FC">
        <w:rPr>
          <w:rFonts w:ascii="Times New Roman" w:hAnsi="Times New Roman" w:cs="Times New Roman"/>
          <w:i/>
          <w:iCs/>
          <w:sz w:val="16"/>
          <w:szCs w:val="16"/>
        </w:rPr>
        <w:t>Eurostat</w:t>
      </w:r>
      <w:r>
        <w:rPr>
          <w:rFonts w:ascii="Times New Roman" w:hAnsi="Times New Roman" w:cs="Times New Roman"/>
          <w:sz w:val="16"/>
          <w:szCs w:val="16"/>
        </w:rPr>
        <w:t xml:space="preserve"> (</w:t>
      </w:r>
      <w:r w:rsidRPr="00AB08FC">
        <w:rPr>
          <w:rFonts w:ascii="Times New Roman" w:hAnsi="Times New Roman" w:cs="Times New Roman"/>
          <w:sz w:val="16"/>
          <w:szCs w:val="16"/>
        </w:rPr>
        <w:t>2017)</w:t>
      </w:r>
    </w:p>
    <w:p w:rsidR="00E33E7A" w:rsidRPr="00AB08FC" w:rsidRDefault="00E33E7A" w:rsidP="003B6842">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Not</w:t>
      </w:r>
      <w:r>
        <w:rPr>
          <w:rFonts w:ascii="Times New Roman" w:hAnsi="Times New Roman" w:cs="Times New Roman"/>
          <w:sz w:val="16"/>
          <w:szCs w:val="16"/>
        </w:rPr>
        <w:t>e</w:t>
      </w:r>
      <w:r w:rsidRPr="00AB08FC">
        <w:rPr>
          <w:rFonts w:ascii="Times New Roman" w:hAnsi="Times New Roman" w:cs="Times New Roman"/>
          <w:sz w:val="16"/>
          <w:szCs w:val="16"/>
        </w:rPr>
        <w:t xml:space="preserve">: </w:t>
      </w:r>
      <w:r w:rsidRPr="000D4F2A">
        <w:rPr>
          <w:rFonts w:ascii="Times New Roman" w:hAnsi="Times New Roman" w:cs="Times New Roman"/>
          <w:sz w:val="16"/>
          <w:szCs w:val="16"/>
        </w:rPr>
        <w:t xml:space="preserve">for Ireland has been used </w:t>
      </w:r>
      <w:r w:rsidRPr="003D1DCF">
        <w:rPr>
          <w:rFonts w:ascii="Times New Roman" w:hAnsi="Times New Roman" w:cs="Times New Roman"/>
          <w:sz w:val="16"/>
          <w:szCs w:val="16"/>
        </w:rPr>
        <w:t>turnover or gross premiums written</w:t>
      </w:r>
      <w:r w:rsidRPr="000D4F2A">
        <w:rPr>
          <w:rFonts w:ascii="Times New Roman" w:hAnsi="Times New Roman" w:cs="Times New Roman"/>
          <w:b/>
          <w:bCs/>
          <w:sz w:val="16"/>
          <w:szCs w:val="16"/>
        </w:rPr>
        <w:t xml:space="preserve"> </w:t>
      </w:r>
      <w:r w:rsidRPr="000D4F2A">
        <w:rPr>
          <w:rFonts w:ascii="Times New Roman" w:hAnsi="Times New Roman" w:cs="Times New Roman"/>
          <w:sz w:val="16"/>
          <w:szCs w:val="16"/>
        </w:rPr>
        <w:t>for</w:t>
      </w:r>
      <w:r>
        <w:rPr>
          <w:rFonts w:ascii="Times New Roman" w:hAnsi="Times New Roman" w:cs="Times New Roman"/>
          <w:sz w:val="16"/>
          <w:szCs w:val="16"/>
        </w:rPr>
        <w:t xml:space="preserve"> 2014</w:t>
      </w:r>
    </w:p>
    <w:p w:rsidR="00E33E7A" w:rsidRPr="00AB08FC" w:rsidRDefault="00E33E7A" w:rsidP="00937E73">
      <w:pPr>
        <w:spacing w:after="0" w:line="240" w:lineRule="auto"/>
        <w:jc w:val="both"/>
        <w:rPr>
          <w:rFonts w:ascii="Times New Roman" w:hAnsi="Times New Roman" w:cs="Times New Roman"/>
          <w:b/>
          <w:bCs/>
        </w:rPr>
      </w:pPr>
    </w:p>
    <w:p w:rsidR="00E33E7A" w:rsidRDefault="00E33E7A" w:rsidP="00275CCF">
      <w:pPr>
        <w:spacing w:after="0" w:line="240" w:lineRule="auto"/>
        <w:jc w:val="center"/>
        <w:rPr>
          <w:rFonts w:ascii="Times New Roman" w:hAnsi="Times New Roman" w:cs="Times New Roman"/>
          <w:b/>
          <w:bCs/>
          <w:sz w:val="20"/>
          <w:szCs w:val="20"/>
        </w:rPr>
      </w:pPr>
      <w:r w:rsidRPr="00A019BA">
        <w:rPr>
          <w:rFonts w:ascii="Times New Roman" w:hAnsi="Times New Roman" w:cs="Times New Roman"/>
          <w:b/>
          <w:bCs/>
          <w:sz w:val="20"/>
          <w:szCs w:val="20"/>
        </w:rPr>
        <w:t xml:space="preserve">Table 4. Link between Gross </w:t>
      </w:r>
      <w:r>
        <w:rPr>
          <w:rFonts w:ascii="Times New Roman" w:hAnsi="Times New Roman" w:cs="Times New Roman"/>
          <w:b/>
          <w:bCs/>
          <w:sz w:val="20"/>
          <w:szCs w:val="20"/>
        </w:rPr>
        <w:t>d</w:t>
      </w:r>
      <w:r w:rsidRPr="00A019BA">
        <w:rPr>
          <w:rFonts w:ascii="Times New Roman" w:hAnsi="Times New Roman" w:cs="Times New Roman"/>
          <w:b/>
          <w:bCs/>
          <w:sz w:val="20"/>
          <w:szCs w:val="20"/>
        </w:rPr>
        <w:t xml:space="preserve">omestic </w:t>
      </w:r>
      <w:r>
        <w:rPr>
          <w:rFonts w:ascii="Times New Roman" w:hAnsi="Times New Roman" w:cs="Times New Roman"/>
          <w:b/>
          <w:bCs/>
          <w:sz w:val="20"/>
          <w:szCs w:val="20"/>
        </w:rPr>
        <w:t>p</w:t>
      </w:r>
      <w:r w:rsidRPr="00A019BA">
        <w:rPr>
          <w:rFonts w:ascii="Times New Roman" w:hAnsi="Times New Roman" w:cs="Times New Roman"/>
          <w:b/>
          <w:bCs/>
          <w:sz w:val="20"/>
          <w:szCs w:val="20"/>
        </w:rPr>
        <w:t xml:space="preserve">roduct and Turnover or </w:t>
      </w:r>
      <w:r>
        <w:rPr>
          <w:rFonts w:ascii="Times New Roman" w:hAnsi="Times New Roman" w:cs="Times New Roman"/>
          <w:b/>
          <w:bCs/>
          <w:sz w:val="20"/>
          <w:szCs w:val="20"/>
        </w:rPr>
        <w:t>g</w:t>
      </w:r>
      <w:r w:rsidRPr="00A019BA">
        <w:rPr>
          <w:rFonts w:ascii="Times New Roman" w:hAnsi="Times New Roman" w:cs="Times New Roman"/>
          <w:b/>
          <w:bCs/>
          <w:sz w:val="20"/>
          <w:szCs w:val="20"/>
        </w:rPr>
        <w:t xml:space="preserve">ross </w:t>
      </w:r>
      <w:r>
        <w:rPr>
          <w:rFonts w:ascii="Times New Roman" w:hAnsi="Times New Roman" w:cs="Times New Roman"/>
          <w:b/>
          <w:bCs/>
          <w:sz w:val="20"/>
          <w:szCs w:val="20"/>
        </w:rPr>
        <w:t>p</w:t>
      </w:r>
      <w:r w:rsidRPr="00A019BA">
        <w:rPr>
          <w:rFonts w:ascii="Times New Roman" w:hAnsi="Times New Roman" w:cs="Times New Roman"/>
          <w:b/>
          <w:bCs/>
          <w:sz w:val="20"/>
          <w:szCs w:val="20"/>
        </w:rPr>
        <w:t xml:space="preserve">remium </w:t>
      </w:r>
      <w:r>
        <w:rPr>
          <w:rFonts w:ascii="Times New Roman" w:hAnsi="Times New Roman" w:cs="Times New Roman"/>
          <w:b/>
          <w:bCs/>
          <w:sz w:val="20"/>
          <w:szCs w:val="20"/>
        </w:rPr>
        <w:t>w</w:t>
      </w:r>
      <w:r w:rsidRPr="00A019BA">
        <w:rPr>
          <w:rFonts w:ascii="Times New Roman" w:hAnsi="Times New Roman" w:cs="Times New Roman"/>
          <w:b/>
          <w:bCs/>
          <w:sz w:val="20"/>
          <w:szCs w:val="20"/>
        </w:rPr>
        <w:t xml:space="preserve">riting </w:t>
      </w:r>
      <w:r>
        <w:rPr>
          <w:rFonts w:ascii="Times New Roman" w:hAnsi="Times New Roman" w:cs="Times New Roman"/>
          <w:b/>
          <w:bCs/>
          <w:sz w:val="20"/>
          <w:szCs w:val="20"/>
        </w:rPr>
        <w:t>m</w:t>
      </w:r>
      <w:r w:rsidRPr="00A019BA">
        <w:rPr>
          <w:rFonts w:ascii="Times New Roman" w:hAnsi="Times New Roman" w:cs="Times New Roman"/>
          <w:b/>
          <w:bCs/>
          <w:sz w:val="20"/>
          <w:szCs w:val="20"/>
        </w:rPr>
        <w:t xml:space="preserve">ade from </w:t>
      </w:r>
      <w:r>
        <w:rPr>
          <w:rFonts w:ascii="Times New Roman" w:hAnsi="Times New Roman" w:cs="Times New Roman"/>
          <w:b/>
          <w:bCs/>
          <w:sz w:val="20"/>
          <w:szCs w:val="20"/>
        </w:rPr>
        <w:t>a</w:t>
      </w:r>
      <w:r w:rsidRPr="00A019BA">
        <w:rPr>
          <w:rFonts w:ascii="Times New Roman" w:hAnsi="Times New Roman" w:cs="Times New Roman"/>
          <w:b/>
          <w:bCs/>
          <w:sz w:val="20"/>
          <w:szCs w:val="20"/>
        </w:rPr>
        <w:t xml:space="preserve">dvertising in EU </w:t>
      </w:r>
      <w:r>
        <w:rPr>
          <w:rFonts w:ascii="Times New Roman" w:hAnsi="Times New Roman" w:cs="Times New Roman"/>
          <w:b/>
          <w:bCs/>
          <w:sz w:val="20"/>
          <w:szCs w:val="20"/>
        </w:rPr>
        <w:t>c</w:t>
      </w:r>
      <w:r w:rsidRPr="00A019BA">
        <w:rPr>
          <w:rFonts w:ascii="Times New Roman" w:hAnsi="Times New Roman" w:cs="Times New Roman"/>
          <w:b/>
          <w:bCs/>
          <w:sz w:val="20"/>
          <w:szCs w:val="20"/>
        </w:rPr>
        <w:t>ountries in 2015</w:t>
      </w:r>
    </w:p>
    <w:p w:rsidR="00E33E7A" w:rsidRPr="00AB08FC" w:rsidRDefault="00E33E7A" w:rsidP="00275CCF">
      <w:pPr>
        <w:spacing w:after="0" w:line="240" w:lineRule="auto"/>
        <w:jc w:val="center"/>
        <w:rPr>
          <w:rFonts w:ascii="Times New Roman" w:hAnsi="Times New Roman" w:cs="Times New Roman"/>
          <w:b/>
          <w:bCs/>
          <w:sz w:val="20"/>
          <w:szCs w:val="20"/>
        </w:rPr>
      </w:pPr>
    </w:p>
    <w:tbl>
      <w:tblPr>
        <w:tblW w:w="6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6"/>
        <w:gridCol w:w="990"/>
        <w:gridCol w:w="990"/>
        <w:gridCol w:w="770"/>
        <w:gridCol w:w="727"/>
        <w:gridCol w:w="770"/>
        <w:gridCol w:w="781"/>
        <w:gridCol w:w="643"/>
      </w:tblGrid>
      <w:tr w:rsidR="00E33E7A" w:rsidRPr="00AB08FC">
        <w:trPr>
          <w:cantSplit/>
          <w:trHeight w:val="1134"/>
          <w:jc w:val="center"/>
        </w:trPr>
        <w:tc>
          <w:tcPr>
            <w:tcW w:w="1126" w:type="dxa"/>
            <w:vAlign w:val="center"/>
          </w:tcPr>
          <w:p w:rsidR="00E33E7A" w:rsidRPr="00AB08FC" w:rsidRDefault="00E33E7A" w:rsidP="00B41C92">
            <w:pPr>
              <w:spacing w:after="0" w:line="240" w:lineRule="auto"/>
              <w:jc w:val="center"/>
              <w:rPr>
                <w:rStyle w:val="Emphasis"/>
                <w:rFonts w:ascii="Times New Roman" w:hAnsi="Times New Roman" w:cs="Times New Roman"/>
                <w:b/>
                <w:bCs/>
                <w:i w:val="0"/>
                <w:iCs w:val="0"/>
                <w:sz w:val="18"/>
                <w:szCs w:val="18"/>
              </w:rPr>
            </w:pPr>
            <w:r w:rsidRPr="00AB08FC">
              <w:rPr>
                <w:rStyle w:val="Emphasis"/>
                <w:rFonts w:ascii="Times New Roman" w:hAnsi="Times New Roman" w:cs="Times New Roman"/>
                <w:b/>
                <w:bCs/>
                <w:i w:val="0"/>
                <w:iCs w:val="0"/>
                <w:sz w:val="18"/>
                <w:szCs w:val="18"/>
              </w:rPr>
              <w:t>Countries</w:t>
            </w:r>
          </w:p>
        </w:tc>
        <w:tc>
          <w:tcPr>
            <w:tcW w:w="990" w:type="dxa"/>
            <w:textDirection w:val="btLr"/>
            <w:vAlign w:val="center"/>
          </w:tcPr>
          <w:p w:rsidR="00E33E7A" w:rsidRPr="00AB08FC" w:rsidRDefault="00E33E7A" w:rsidP="002E64D4">
            <w:pPr>
              <w:spacing w:after="0" w:line="240" w:lineRule="auto"/>
              <w:ind w:left="113" w:right="113"/>
              <w:jc w:val="center"/>
              <w:rPr>
                <w:rStyle w:val="Emphasis"/>
                <w:rFonts w:ascii="Times New Roman" w:hAnsi="Times New Roman" w:cs="Times New Roman"/>
                <w:b/>
                <w:bCs/>
                <w:i w:val="0"/>
                <w:iCs w:val="0"/>
                <w:sz w:val="18"/>
                <w:szCs w:val="18"/>
              </w:rPr>
            </w:pPr>
            <w:r w:rsidRPr="00AB08FC">
              <w:rPr>
                <w:rStyle w:val="Emphasis"/>
                <w:rFonts w:ascii="Times New Roman" w:hAnsi="Times New Roman" w:cs="Times New Roman"/>
                <w:b/>
                <w:bCs/>
                <w:i w:val="0"/>
                <w:iCs w:val="0"/>
                <w:sz w:val="18"/>
                <w:szCs w:val="18"/>
              </w:rPr>
              <w:t>Regression equation</w:t>
            </w:r>
          </w:p>
        </w:tc>
        <w:tc>
          <w:tcPr>
            <w:tcW w:w="990" w:type="dxa"/>
            <w:textDirection w:val="btLr"/>
            <w:vAlign w:val="center"/>
          </w:tcPr>
          <w:p w:rsidR="00E33E7A" w:rsidRPr="00AB08FC" w:rsidRDefault="00E33E7A" w:rsidP="005D56A9">
            <w:pPr>
              <w:spacing w:after="0" w:line="240" w:lineRule="auto"/>
              <w:ind w:left="113" w:right="113"/>
              <w:jc w:val="center"/>
              <w:rPr>
                <w:rStyle w:val="Emphasis"/>
                <w:rFonts w:ascii="Times New Roman" w:hAnsi="Times New Roman" w:cs="Times New Roman"/>
                <w:b/>
                <w:bCs/>
                <w:i w:val="0"/>
                <w:iCs w:val="0"/>
                <w:sz w:val="18"/>
                <w:szCs w:val="18"/>
              </w:rPr>
            </w:pPr>
            <w:r w:rsidRPr="00AB08FC">
              <w:rPr>
                <w:rFonts w:ascii="Times New Roman" w:hAnsi="Times New Roman" w:cs="Times New Roman"/>
                <w:b/>
                <w:bCs/>
                <w:sz w:val="18"/>
                <w:szCs w:val="18"/>
              </w:rPr>
              <w:t>Coefficient of determination (</w:t>
            </w:r>
            <w:r w:rsidRPr="00420C38">
              <w:rPr>
                <w:rFonts w:ascii="Times New Roman" w:hAnsi="Times New Roman" w:cs="Times New Roman"/>
                <w:i/>
                <w:iCs/>
                <w:sz w:val="18"/>
                <w:szCs w:val="18"/>
              </w:rPr>
              <w:t>R</w:t>
            </w:r>
            <w:r w:rsidRPr="00420C38">
              <w:rPr>
                <w:rFonts w:ascii="Times New Roman" w:hAnsi="Times New Roman" w:cs="Times New Roman"/>
                <w:i/>
                <w:iCs/>
                <w:sz w:val="18"/>
                <w:szCs w:val="18"/>
                <w:vertAlign w:val="superscript"/>
              </w:rPr>
              <w:t>2</w:t>
            </w:r>
            <w:r w:rsidRPr="00AB08FC">
              <w:rPr>
                <w:rFonts w:ascii="Times New Roman" w:hAnsi="Times New Roman" w:cs="Times New Roman"/>
                <w:b/>
                <w:bCs/>
                <w:sz w:val="18"/>
                <w:szCs w:val="18"/>
              </w:rPr>
              <w:t>)</w:t>
            </w:r>
          </w:p>
        </w:tc>
        <w:tc>
          <w:tcPr>
            <w:tcW w:w="770" w:type="dxa"/>
            <w:textDirection w:val="btLr"/>
            <w:vAlign w:val="center"/>
          </w:tcPr>
          <w:p w:rsidR="00E33E7A" w:rsidRPr="00AB08FC" w:rsidRDefault="00E33E7A" w:rsidP="005D56A9">
            <w:pPr>
              <w:spacing w:after="0" w:line="240" w:lineRule="auto"/>
              <w:ind w:left="113" w:right="113"/>
              <w:jc w:val="center"/>
              <w:rPr>
                <w:rStyle w:val="Emphasis"/>
                <w:rFonts w:ascii="Times New Roman" w:hAnsi="Times New Roman" w:cs="Times New Roman"/>
                <w:b/>
                <w:bCs/>
                <w:i w:val="0"/>
                <w:iCs w:val="0"/>
                <w:sz w:val="18"/>
                <w:szCs w:val="18"/>
              </w:rPr>
            </w:pPr>
            <w:r w:rsidRPr="00AB08FC">
              <w:rPr>
                <w:rFonts w:ascii="Times New Roman" w:hAnsi="Times New Roman" w:cs="Times New Roman"/>
                <w:b/>
                <w:bCs/>
                <w:sz w:val="18"/>
                <w:szCs w:val="18"/>
              </w:rPr>
              <w:t>Correlation coefficient (</w:t>
            </w:r>
            <w:r w:rsidRPr="00420C38">
              <w:rPr>
                <w:rFonts w:ascii="Times New Roman" w:hAnsi="Times New Roman" w:cs="Times New Roman"/>
                <w:i/>
                <w:iCs/>
                <w:sz w:val="18"/>
                <w:szCs w:val="18"/>
              </w:rPr>
              <w:t>r</w:t>
            </w:r>
            <w:r w:rsidRPr="00AB08FC">
              <w:rPr>
                <w:rFonts w:ascii="Times New Roman" w:hAnsi="Times New Roman" w:cs="Times New Roman"/>
                <w:b/>
                <w:bCs/>
                <w:sz w:val="18"/>
                <w:szCs w:val="18"/>
              </w:rPr>
              <w:t>)</w:t>
            </w:r>
          </w:p>
        </w:tc>
        <w:tc>
          <w:tcPr>
            <w:tcW w:w="727" w:type="dxa"/>
            <w:textDirection w:val="btLr"/>
            <w:vAlign w:val="center"/>
          </w:tcPr>
          <w:p w:rsidR="00E33E7A" w:rsidRPr="00AB08FC" w:rsidRDefault="00E33E7A" w:rsidP="005D56A9">
            <w:pPr>
              <w:spacing w:after="0" w:line="240" w:lineRule="auto"/>
              <w:ind w:left="113" w:right="113"/>
              <w:jc w:val="center"/>
              <w:rPr>
                <w:rStyle w:val="Emphasis"/>
                <w:rFonts w:ascii="Times New Roman" w:hAnsi="Times New Roman" w:cs="Times New Roman"/>
                <w:b/>
                <w:bCs/>
                <w:i w:val="0"/>
                <w:iCs w:val="0"/>
                <w:sz w:val="18"/>
                <w:szCs w:val="18"/>
              </w:rPr>
            </w:pPr>
            <w:r>
              <w:rPr>
                <w:rFonts w:ascii="Times New Roman" w:hAnsi="Times New Roman" w:cs="Times New Roman"/>
                <w:b/>
                <w:bCs/>
                <w:sz w:val="18"/>
                <w:szCs w:val="18"/>
              </w:rPr>
              <w:t xml:space="preserve">Calculated value </w:t>
            </w:r>
            <w:r w:rsidRPr="00420C38">
              <w:rPr>
                <w:rFonts w:ascii="Times New Roman" w:hAnsi="Times New Roman" w:cs="Times New Roman"/>
                <w:b/>
                <w:bCs/>
                <w:i/>
                <w:iCs/>
                <w:sz w:val="18"/>
                <w:szCs w:val="18"/>
              </w:rPr>
              <w:t>t</w:t>
            </w:r>
            <w:r w:rsidRPr="00420C38">
              <w:rPr>
                <w:rFonts w:ascii="Times New Roman" w:hAnsi="Times New Roman" w:cs="Times New Roman"/>
                <w:b/>
                <w:bCs/>
                <w:i/>
                <w:iCs/>
                <w:sz w:val="18"/>
                <w:szCs w:val="18"/>
                <w:vertAlign w:val="subscript"/>
              </w:rPr>
              <w:t>c</w:t>
            </w:r>
          </w:p>
        </w:tc>
        <w:tc>
          <w:tcPr>
            <w:tcW w:w="770" w:type="dxa"/>
            <w:textDirection w:val="btLr"/>
            <w:vAlign w:val="center"/>
          </w:tcPr>
          <w:p w:rsidR="00E33E7A" w:rsidRPr="00AB08FC" w:rsidRDefault="00E33E7A" w:rsidP="005D56A9">
            <w:pPr>
              <w:spacing w:after="0" w:line="240" w:lineRule="auto"/>
              <w:ind w:left="113" w:right="113"/>
              <w:jc w:val="center"/>
              <w:rPr>
                <w:rStyle w:val="Emphasis"/>
                <w:rFonts w:ascii="Times New Roman" w:hAnsi="Times New Roman" w:cs="Times New Roman"/>
                <w:b/>
                <w:bCs/>
                <w:i w:val="0"/>
                <w:iCs w:val="0"/>
                <w:sz w:val="18"/>
                <w:szCs w:val="18"/>
              </w:rPr>
            </w:pPr>
            <w:r w:rsidRPr="00A019BA">
              <w:rPr>
                <w:rFonts w:ascii="Times New Roman" w:hAnsi="Times New Roman" w:cs="Times New Roman"/>
                <w:b/>
                <w:bCs/>
                <w:sz w:val="18"/>
                <w:szCs w:val="18"/>
              </w:rPr>
              <w:t>Number of degrees of freedom</w:t>
            </w:r>
          </w:p>
        </w:tc>
        <w:tc>
          <w:tcPr>
            <w:tcW w:w="781" w:type="dxa"/>
            <w:textDirection w:val="btLr"/>
            <w:vAlign w:val="center"/>
          </w:tcPr>
          <w:p w:rsidR="00E33E7A" w:rsidRPr="00AB08FC" w:rsidRDefault="00E33E7A" w:rsidP="005D56A9">
            <w:pPr>
              <w:spacing w:after="0" w:line="240" w:lineRule="auto"/>
              <w:ind w:left="113" w:right="113"/>
              <w:jc w:val="center"/>
              <w:rPr>
                <w:rStyle w:val="Emphasis"/>
                <w:rFonts w:ascii="Times New Roman" w:hAnsi="Times New Roman" w:cs="Times New Roman"/>
                <w:b/>
                <w:bCs/>
                <w:i w:val="0"/>
                <w:iCs w:val="0"/>
                <w:sz w:val="18"/>
                <w:szCs w:val="18"/>
              </w:rPr>
            </w:pPr>
            <w:r w:rsidRPr="00AB08FC">
              <w:rPr>
                <w:rFonts w:ascii="Times New Roman" w:hAnsi="Times New Roman" w:cs="Times New Roman"/>
                <w:b/>
                <w:bCs/>
                <w:sz w:val="18"/>
                <w:szCs w:val="18"/>
              </w:rPr>
              <w:t>Significance level</w:t>
            </w:r>
          </w:p>
        </w:tc>
        <w:tc>
          <w:tcPr>
            <w:tcW w:w="643" w:type="dxa"/>
            <w:textDirection w:val="btLr"/>
            <w:vAlign w:val="center"/>
          </w:tcPr>
          <w:p w:rsidR="00E33E7A" w:rsidRPr="00AB08FC" w:rsidRDefault="00E33E7A" w:rsidP="005D56A9">
            <w:pPr>
              <w:spacing w:after="0" w:line="240" w:lineRule="auto"/>
              <w:ind w:left="113" w:right="113"/>
              <w:jc w:val="center"/>
              <w:rPr>
                <w:rStyle w:val="Emphasis"/>
                <w:rFonts w:ascii="Times New Roman" w:hAnsi="Times New Roman" w:cs="Times New Roman"/>
                <w:b/>
                <w:bCs/>
                <w:i w:val="0"/>
                <w:iCs w:val="0"/>
                <w:sz w:val="18"/>
                <w:szCs w:val="18"/>
              </w:rPr>
            </w:pPr>
            <w:r w:rsidRPr="00A019BA">
              <w:rPr>
                <w:rFonts w:ascii="Times New Roman" w:hAnsi="Times New Roman" w:cs="Times New Roman"/>
                <w:b/>
                <w:bCs/>
                <w:sz w:val="18"/>
                <w:szCs w:val="18"/>
              </w:rPr>
              <w:t xml:space="preserve">Theoretical value </w:t>
            </w:r>
            <w:r w:rsidRPr="00420C38">
              <w:rPr>
                <w:rFonts w:ascii="Times New Roman" w:hAnsi="Times New Roman" w:cs="Times New Roman"/>
                <w:b/>
                <w:bCs/>
                <w:i/>
                <w:iCs/>
                <w:sz w:val="18"/>
                <w:szCs w:val="18"/>
              </w:rPr>
              <w:t>t</w:t>
            </w:r>
          </w:p>
        </w:tc>
      </w:tr>
      <w:tr w:rsidR="00E33E7A" w:rsidRPr="00AB08FC">
        <w:trPr>
          <w:jc w:val="center"/>
        </w:trPr>
        <w:tc>
          <w:tcPr>
            <w:tcW w:w="1126" w:type="dxa"/>
            <w:vAlign w:val="center"/>
          </w:tcPr>
          <w:p w:rsidR="00E33E7A" w:rsidRPr="00AB08FC" w:rsidRDefault="00E33E7A" w:rsidP="00616481">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European Union (E</w:t>
            </w:r>
            <w:r>
              <w:rPr>
                <w:rFonts w:ascii="Times New Roman" w:hAnsi="Times New Roman" w:cs="Times New Roman"/>
                <w:sz w:val="18"/>
                <w:szCs w:val="18"/>
              </w:rPr>
              <w:t>U</w:t>
            </w:r>
            <w:r w:rsidRPr="00AB08FC">
              <w:rPr>
                <w:rFonts w:ascii="Times New Roman" w:hAnsi="Times New Roman" w:cs="Times New Roman"/>
                <w:sz w:val="18"/>
                <w:szCs w:val="18"/>
              </w:rPr>
              <w:t xml:space="preserve"> – 28)</w:t>
            </w:r>
          </w:p>
        </w:tc>
        <w:tc>
          <w:tcPr>
            <w:tcW w:w="990" w:type="dxa"/>
            <w:vAlign w:val="center"/>
          </w:tcPr>
          <w:p w:rsidR="00E33E7A" w:rsidRPr="00AB08FC" w:rsidRDefault="00E33E7A" w:rsidP="002E64D4">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Y = 0.01x + 230.112</w:t>
            </w:r>
          </w:p>
        </w:tc>
        <w:tc>
          <w:tcPr>
            <w:tcW w:w="990" w:type="dxa"/>
            <w:vAlign w:val="center"/>
          </w:tcPr>
          <w:p w:rsidR="00E33E7A" w:rsidRPr="00AB08FC" w:rsidRDefault="00E33E7A" w:rsidP="00B41C92">
            <w:pPr>
              <w:spacing w:after="0" w:line="240" w:lineRule="auto"/>
              <w:jc w:val="center"/>
              <w:rPr>
                <w:rFonts w:ascii="Times New Roman" w:hAnsi="Times New Roman" w:cs="Times New Roman"/>
                <w:b/>
                <w:bCs/>
                <w:sz w:val="18"/>
                <w:szCs w:val="18"/>
              </w:rPr>
            </w:pPr>
            <w:r w:rsidRPr="00AB08FC">
              <w:rPr>
                <w:rFonts w:ascii="Times New Roman" w:hAnsi="Times New Roman" w:cs="Times New Roman"/>
                <w:sz w:val="18"/>
                <w:szCs w:val="18"/>
              </w:rPr>
              <w:t>0.8774</w:t>
            </w:r>
          </w:p>
        </w:tc>
        <w:tc>
          <w:tcPr>
            <w:tcW w:w="770"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0.9367</w:t>
            </w:r>
          </w:p>
        </w:tc>
        <w:tc>
          <w:tcPr>
            <w:tcW w:w="727" w:type="dxa"/>
            <w:vAlign w:val="center"/>
          </w:tcPr>
          <w:p w:rsidR="00E33E7A" w:rsidRPr="00AB08FC" w:rsidRDefault="00E33E7A" w:rsidP="0040635F">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13.641</w:t>
            </w:r>
          </w:p>
        </w:tc>
        <w:tc>
          <w:tcPr>
            <w:tcW w:w="770"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26</w:t>
            </w:r>
          </w:p>
        </w:tc>
        <w:tc>
          <w:tcPr>
            <w:tcW w:w="781"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0.0001</w:t>
            </w:r>
          </w:p>
        </w:tc>
        <w:tc>
          <w:tcPr>
            <w:tcW w:w="643" w:type="dxa"/>
            <w:vAlign w:val="center"/>
          </w:tcPr>
          <w:p w:rsidR="00E33E7A" w:rsidRPr="00AB08FC" w:rsidRDefault="00E33E7A" w:rsidP="0040635F">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4.587</w:t>
            </w:r>
          </w:p>
        </w:tc>
      </w:tr>
      <w:tr w:rsidR="00E33E7A" w:rsidRPr="00AB08FC">
        <w:trPr>
          <w:trHeight w:val="206"/>
          <w:jc w:val="center"/>
        </w:trPr>
        <w:tc>
          <w:tcPr>
            <w:tcW w:w="1126" w:type="dxa"/>
            <w:vAlign w:val="center"/>
          </w:tcPr>
          <w:p w:rsidR="00E33E7A" w:rsidRPr="00AB08FC" w:rsidRDefault="00E33E7A" w:rsidP="00616481">
            <w:pPr>
              <w:spacing w:after="0" w:line="240" w:lineRule="auto"/>
              <w:rPr>
                <w:rFonts w:ascii="Times New Roman" w:hAnsi="Times New Roman" w:cs="Times New Roman"/>
                <w:sz w:val="18"/>
                <w:szCs w:val="18"/>
              </w:rPr>
            </w:pPr>
            <w:r w:rsidRPr="00AB08FC">
              <w:rPr>
                <w:rFonts w:ascii="Times New Roman" w:hAnsi="Times New Roman" w:cs="Times New Roman"/>
                <w:sz w:val="18"/>
                <w:szCs w:val="18"/>
              </w:rPr>
              <w:t>E</w:t>
            </w:r>
            <w:r>
              <w:rPr>
                <w:rFonts w:ascii="Times New Roman" w:hAnsi="Times New Roman" w:cs="Times New Roman"/>
                <w:sz w:val="18"/>
                <w:szCs w:val="18"/>
              </w:rPr>
              <w:t>U</w:t>
            </w:r>
            <w:r w:rsidRPr="00AB08FC">
              <w:rPr>
                <w:rFonts w:ascii="Times New Roman" w:hAnsi="Times New Roman" w:cs="Times New Roman"/>
                <w:sz w:val="18"/>
                <w:szCs w:val="18"/>
              </w:rPr>
              <w:t xml:space="preserve"> - 15</w:t>
            </w:r>
          </w:p>
        </w:tc>
        <w:tc>
          <w:tcPr>
            <w:tcW w:w="990"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Y = 0.01x + 67.592</w:t>
            </w:r>
          </w:p>
        </w:tc>
        <w:tc>
          <w:tcPr>
            <w:tcW w:w="990" w:type="dxa"/>
            <w:vAlign w:val="center"/>
          </w:tcPr>
          <w:p w:rsidR="00E33E7A" w:rsidRPr="00AB08FC" w:rsidRDefault="00E33E7A" w:rsidP="00B41C92">
            <w:pPr>
              <w:spacing w:after="0" w:line="240" w:lineRule="auto"/>
              <w:jc w:val="center"/>
              <w:rPr>
                <w:rFonts w:cs="Times New Roman"/>
                <w:sz w:val="18"/>
                <w:szCs w:val="18"/>
              </w:rPr>
            </w:pPr>
            <w:r w:rsidRPr="00AB08FC">
              <w:rPr>
                <w:rFonts w:ascii="Times New Roman" w:hAnsi="Times New Roman" w:cs="Times New Roman"/>
                <w:sz w:val="18"/>
                <w:szCs w:val="18"/>
              </w:rPr>
              <w:t>0.8458</w:t>
            </w:r>
          </w:p>
        </w:tc>
        <w:tc>
          <w:tcPr>
            <w:tcW w:w="770"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0.9197</w:t>
            </w:r>
          </w:p>
        </w:tc>
        <w:tc>
          <w:tcPr>
            <w:tcW w:w="727" w:type="dxa"/>
            <w:vAlign w:val="center"/>
          </w:tcPr>
          <w:p w:rsidR="00E33E7A" w:rsidRPr="00AB08FC" w:rsidRDefault="00E33E7A" w:rsidP="0040635F">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8.444</w:t>
            </w:r>
          </w:p>
        </w:tc>
        <w:tc>
          <w:tcPr>
            <w:tcW w:w="770"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13</w:t>
            </w:r>
          </w:p>
        </w:tc>
        <w:tc>
          <w:tcPr>
            <w:tcW w:w="781" w:type="dxa"/>
            <w:vAlign w:val="center"/>
          </w:tcPr>
          <w:p w:rsidR="00E33E7A" w:rsidRPr="00AB08FC" w:rsidRDefault="00E33E7A" w:rsidP="0040635F">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0.0001</w:t>
            </w:r>
          </w:p>
        </w:tc>
        <w:tc>
          <w:tcPr>
            <w:tcW w:w="643" w:type="dxa"/>
            <w:vAlign w:val="center"/>
          </w:tcPr>
          <w:p w:rsidR="00E33E7A" w:rsidRPr="00AB08FC" w:rsidRDefault="00E33E7A" w:rsidP="0040635F">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5.513</w:t>
            </w:r>
          </w:p>
        </w:tc>
      </w:tr>
      <w:tr w:rsidR="00E33E7A" w:rsidRPr="00AB08FC">
        <w:trPr>
          <w:jc w:val="center"/>
        </w:trPr>
        <w:tc>
          <w:tcPr>
            <w:tcW w:w="1126" w:type="dxa"/>
            <w:vAlign w:val="center"/>
          </w:tcPr>
          <w:p w:rsidR="00E33E7A" w:rsidRPr="00AB08FC" w:rsidRDefault="00E33E7A" w:rsidP="00616481">
            <w:pPr>
              <w:spacing w:after="0" w:line="240" w:lineRule="auto"/>
              <w:rPr>
                <w:rFonts w:ascii="Times New Roman" w:hAnsi="Times New Roman" w:cs="Times New Roman"/>
                <w:sz w:val="18"/>
                <w:szCs w:val="18"/>
              </w:rPr>
            </w:pPr>
            <w:r>
              <w:rPr>
                <w:rFonts w:ascii="Times New Roman" w:hAnsi="Times New Roman" w:cs="Times New Roman"/>
                <w:sz w:val="18"/>
                <w:szCs w:val="18"/>
              </w:rPr>
              <w:t>New EU member states</w:t>
            </w:r>
          </w:p>
        </w:tc>
        <w:tc>
          <w:tcPr>
            <w:tcW w:w="990"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Y = 0.0153x - 116.944</w:t>
            </w:r>
          </w:p>
        </w:tc>
        <w:tc>
          <w:tcPr>
            <w:tcW w:w="990" w:type="dxa"/>
            <w:vAlign w:val="center"/>
          </w:tcPr>
          <w:p w:rsidR="00E33E7A" w:rsidRPr="00AB08FC" w:rsidRDefault="00E33E7A" w:rsidP="00B41C92">
            <w:pPr>
              <w:spacing w:after="0" w:line="240" w:lineRule="auto"/>
              <w:jc w:val="center"/>
              <w:rPr>
                <w:rFonts w:cs="Times New Roman"/>
                <w:sz w:val="18"/>
                <w:szCs w:val="18"/>
              </w:rPr>
            </w:pPr>
            <w:r w:rsidRPr="00AB08FC">
              <w:rPr>
                <w:rFonts w:ascii="Times New Roman" w:hAnsi="Times New Roman" w:cs="Times New Roman"/>
                <w:sz w:val="18"/>
                <w:szCs w:val="18"/>
              </w:rPr>
              <w:t>0.9586</w:t>
            </w:r>
          </w:p>
        </w:tc>
        <w:tc>
          <w:tcPr>
            <w:tcW w:w="770"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0.9791</w:t>
            </w:r>
          </w:p>
        </w:tc>
        <w:tc>
          <w:tcPr>
            <w:tcW w:w="727" w:type="dxa"/>
            <w:vAlign w:val="center"/>
          </w:tcPr>
          <w:p w:rsidR="00E33E7A" w:rsidRPr="00AB08FC" w:rsidRDefault="00E33E7A" w:rsidP="0040635F">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15.959</w:t>
            </w:r>
          </w:p>
        </w:tc>
        <w:tc>
          <w:tcPr>
            <w:tcW w:w="770" w:type="dxa"/>
            <w:vAlign w:val="center"/>
          </w:tcPr>
          <w:p w:rsidR="00E33E7A" w:rsidRPr="00AB08FC" w:rsidRDefault="00E33E7A" w:rsidP="00B41C92">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11</w:t>
            </w:r>
          </w:p>
        </w:tc>
        <w:tc>
          <w:tcPr>
            <w:tcW w:w="781" w:type="dxa"/>
            <w:vAlign w:val="center"/>
          </w:tcPr>
          <w:p w:rsidR="00E33E7A" w:rsidRPr="00AB08FC" w:rsidRDefault="00E33E7A" w:rsidP="0040635F">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0.0001</w:t>
            </w:r>
          </w:p>
        </w:tc>
        <w:tc>
          <w:tcPr>
            <w:tcW w:w="643" w:type="dxa"/>
            <w:vAlign w:val="center"/>
          </w:tcPr>
          <w:p w:rsidR="00E33E7A" w:rsidRPr="00AB08FC" w:rsidRDefault="00E33E7A" w:rsidP="0040635F">
            <w:pPr>
              <w:spacing w:after="0" w:line="240" w:lineRule="auto"/>
              <w:jc w:val="center"/>
              <w:rPr>
                <w:rFonts w:ascii="Times New Roman" w:hAnsi="Times New Roman" w:cs="Times New Roman"/>
                <w:sz w:val="18"/>
                <w:szCs w:val="18"/>
              </w:rPr>
            </w:pPr>
            <w:r w:rsidRPr="00AB08FC">
              <w:rPr>
                <w:rFonts w:ascii="Times New Roman" w:hAnsi="Times New Roman" w:cs="Times New Roman"/>
                <w:sz w:val="18"/>
                <w:szCs w:val="18"/>
              </w:rPr>
              <w:t>5.921</w:t>
            </w:r>
          </w:p>
        </w:tc>
      </w:tr>
    </w:tbl>
    <w:p w:rsidR="00E33E7A" w:rsidRPr="00AB08FC" w:rsidRDefault="00E33E7A" w:rsidP="00275CCF">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 xml:space="preserve">Source: personal processing from </w:t>
      </w:r>
      <w:r w:rsidRPr="00AB08FC">
        <w:rPr>
          <w:rFonts w:ascii="Times New Roman" w:hAnsi="Times New Roman" w:cs="Times New Roman"/>
          <w:i/>
          <w:iCs/>
          <w:sz w:val="16"/>
          <w:szCs w:val="16"/>
        </w:rPr>
        <w:t>Eurostat</w:t>
      </w:r>
      <w:r>
        <w:rPr>
          <w:rFonts w:ascii="Times New Roman" w:hAnsi="Times New Roman" w:cs="Times New Roman"/>
          <w:sz w:val="16"/>
          <w:szCs w:val="16"/>
        </w:rPr>
        <w:t xml:space="preserve"> (</w:t>
      </w:r>
      <w:r w:rsidRPr="00AB08FC">
        <w:rPr>
          <w:rFonts w:ascii="Times New Roman" w:hAnsi="Times New Roman" w:cs="Times New Roman"/>
          <w:sz w:val="16"/>
          <w:szCs w:val="16"/>
        </w:rPr>
        <w:t>2017)</w:t>
      </w:r>
    </w:p>
    <w:p w:rsidR="00E33E7A" w:rsidRPr="00AB08FC" w:rsidRDefault="00E33E7A" w:rsidP="00275CCF">
      <w:pPr>
        <w:spacing w:after="0" w:line="240" w:lineRule="auto"/>
        <w:jc w:val="center"/>
        <w:rPr>
          <w:rFonts w:ascii="Times New Roman" w:hAnsi="Times New Roman" w:cs="Times New Roman"/>
          <w:sz w:val="16"/>
          <w:szCs w:val="16"/>
        </w:rPr>
      </w:pPr>
      <w:r w:rsidRPr="00AB08FC">
        <w:rPr>
          <w:rFonts w:ascii="Times New Roman" w:hAnsi="Times New Roman" w:cs="Times New Roman"/>
          <w:sz w:val="16"/>
          <w:szCs w:val="16"/>
        </w:rPr>
        <w:t>Not</w:t>
      </w:r>
      <w:r>
        <w:rPr>
          <w:rFonts w:ascii="Times New Roman" w:hAnsi="Times New Roman" w:cs="Times New Roman"/>
          <w:sz w:val="16"/>
          <w:szCs w:val="16"/>
        </w:rPr>
        <w:t>e</w:t>
      </w:r>
      <w:r w:rsidRPr="00AB08FC">
        <w:rPr>
          <w:rFonts w:ascii="Times New Roman" w:hAnsi="Times New Roman" w:cs="Times New Roman"/>
          <w:sz w:val="16"/>
          <w:szCs w:val="16"/>
        </w:rPr>
        <w:t xml:space="preserve">: </w:t>
      </w:r>
      <w:r w:rsidRPr="000D4F2A">
        <w:rPr>
          <w:rFonts w:ascii="Times New Roman" w:hAnsi="Times New Roman" w:cs="Times New Roman"/>
          <w:sz w:val="16"/>
          <w:szCs w:val="16"/>
        </w:rPr>
        <w:t xml:space="preserve">for Ireland has been used </w:t>
      </w:r>
      <w:r w:rsidRPr="00420C38">
        <w:rPr>
          <w:rFonts w:ascii="Times New Roman" w:hAnsi="Times New Roman" w:cs="Times New Roman"/>
          <w:sz w:val="16"/>
          <w:szCs w:val="16"/>
        </w:rPr>
        <w:t>turnover or gross premiums written</w:t>
      </w:r>
      <w:r w:rsidRPr="000D4F2A">
        <w:rPr>
          <w:rFonts w:ascii="Times New Roman" w:hAnsi="Times New Roman" w:cs="Times New Roman"/>
          <w:b/>
          <w:bCs/>
          <w:sz w:val="16"/>
          <w:szCs w:val="16"/>
        </w:rPr>
        <w:t xml:space="preserve"> </w:t>
      </w:r>
      <w:r w:rsidRPr="000D4F2A">
        <w:rPr>
          <w:rFonts w:ascii="Times New Roman" w:hAnsi="Times New Roman" w:cs="Times New Roman"/>
          <w:sz w:val="16"/>
          <w:szCs w:val="16"/>
        </w:rPr>
        <w:t>for</w:t>
      </w:r>
      <w:r>
        <w:rPr>
          <w:rFonts w:ascii="Times New Roman" w:hAnsi="Times New Roman" w:cs="Times New Roman"/>
          <w:sz w:val="16"/>
          <w:szCs w:val="16"/>
        </w:rPr>
        <w:t xml:space="preserve"> 2014</w:t>
      </w:r>
    </w:p>
    <w:p w:rsidR="00E33E7A" w:rsidRDefault="00E33E7A" w:rsidP="005757FD">
      <w:pPr>
        <w:spacing w:after="0" w:line="240" w:lineRule="auto"/>
        <w:jc w:val="both"/>
        <w:rPr>
          <w:rFonts w:ascii="Times New Roman" w:hAnsi="Times New Roman" w:cs="Times New Roman"/>
          <w:sz w:val="20"/>
          <w:szCs w:val="20"/>
        </w:rPr>
      </w:pPr>
    </w:p>
    <w:p w:rsidR="00E33E7A" w:rsidRPr="005D001F" w:rsidRDefault="00E33E7A" w:rsidP="00937E73">
      <w:pPr>
        <w:spacing w:after="0" w:line="240" w:lineRule="auto"/>
        <w:jc w:val="both"/>
        <w:rPr>
          <w:rFonts w:ascii="Times New Roman" w:hAnsi="Times New Roman" w:cs="Times New Roman"/>
          <w:sz w:val="20"/>
          <w:szCs w:val="20"/>
        </w:rPr>
      </w:pPr>
      <w:r w:rsidRPr="005D001F">
        <w:rPr>
          <w:rFonts w:ascii="Times New Roman" w:hAnsi="Times New Roman" w:cs="Times New Roman"/>
          <w:sz w:val="20"/>
          <w:szCs w:val="20"/>
        </w:rPr>
        <w:t>It is noted from the above table that the value of the regression coefficient has the same value at the level of equations determined for EU-28 and EU-15 (0.01) and was 0.0153 for the new EU m</w:t>
      </w:r>
      <w:r>
        <w:rPr>
          <w:rFonts w:ascii="Times New Roman" w:hAnsi="Times New Roman" w:cs="Times New Roman"/>
          <w:sz w:val="20"/>
          <w:szCs w:val="20"/>
        </w:rPr>
        <w:t>ember states. These values show</w:t>
      </w:r>
      <w:r w:rsidRPr="005D001F">
        <w:rPr>
          <w:rFonts w:ascii="Times New Roman" w:hAnsi="Times New Roman" w:cs="Times New Roman"/>
          <w:sz w:val="20"/>
          <w:szCs w:val="20"/>
        </w:rPr>
        <w:t xml:space="preserve"> that both at the EU-28 and at the EU-15 levels, on average, there is an increase of 1 billion Euro in Gross domestic product, related to an increase of 10 million Euro in Turnover or gross premium writing made from advertising; and, also, at the new EU member states level, related to an increase of 15,3 million Euro in Turnover or gross premium writing made from advertising.</w:t>
      </w:r>
    </w:p>
    <w:p w:rsidR="00E33E7A" w:rsidRDefault="00E33E7A" w:rsidP="00937E73">
      <w:pPr>
        <w:spacing w:after="0" w:line="240" w:lineRule="auto"/>
        <w:jc w:val="both"/>
        <w:rPr>
          <w:rFonts w:ascii="Times New Roman" w:hAnsi="Times New Roman" w:cs="Times New Roman"/>
          <w:b/>
          <w:bCs/>
        </w:rPr>
      </w:pPr>
    </w:p>
    <w:p w:rsidR="00E33E7A" w:rsidRPr="00AB08FC" w:rsidRDefault="00E33E7A" w:rsidP="00937E73">
      <w:pPr>
        <w:spacing w:after="0" w:line="240" w:lineRule="auto"/>
        <w:jc w:val="both"/>
        <w:rPr>
          <w:rFonts w:ascii="Times New Roman" w:hAnsi="Times New Roman" w:cs="Times New Roman"/>
          <w:b/>
          <w:bCs/>
        </w:rPr>
      </w:pPr>
      <w:r w:rsidRPr="00AB08FC">
        <w:rPr>
          <w:rFonts w:ascii="Times New Roman" w:hAnsi="Times New Roman" w:cs="Times New Roman"/>
          <w:b/>
          <w:bCs/>
        </w:rPr>
        <w:t>Conclusions</w:t>
      </w:r>
    </w:p>
    <w:p w:rsidR="00E33E7A" w:rsidRPr="00A019BA" w:rsidRDefault="00E33E7A" w:rsidP="00A019BA">
      <w:pPr>
        <w:spacing w:after="0" w:line="240" w:lineRule="auto"/>
        <w:jc w:val="both"/>
        <w:rPr>
          <w:rFonts w:ascii="Times New Roman" w:hAnsi="Times New Roman" w:cs="Times New Roman"/>
          <w:sz w:val="20"/>
          <w:szCs w:val="20"/>
        </w:rPr>
      </w:pPr>
      <w:r w:rsidRPr="00A019BA">
        <w:rPr>
          <w:rFonts w:ascii="Times New Roman" w:hAnsi="Times New Roman" w:cs="Times New Roman"/>
          <w:sz w:val="20"/>
          <w:szCs w:val="20"/>
        </w:rPr>
        <w:t xml:space="preserve">This paper has attempted to capture both the evolution of the EU-wide advertising market beyond 2010 and the link between the macroeconomic outcomes of the </w:t>
      </w:r>
      <w:r>
        <w:rPr>
          <w:rFonts w:ascii="Times New Roman" w:hAnsi="Times New Roman" w:cs="Times New Roman"/>
          <w:sz w:val="20"/>
          <w:szCs w:val="20"/>
        </w:rPr>
        <w:t>m</w:t>
      </w:r>
      <w:r w:rsidRPr="00A019BA">
        <w:rPr>
          <w:rFonts w:ascii="Times New Roman" w:hAnsi="Times New Roman" w:cs="Times New Roman"/>
          <w:sz w:val="20"/>
          <w:szCs w:val="20"/>
        </w:rPr>
        <w:t xml:space="preserve">ember </w:t>
      </w:r>
      <w:r>
        <w:rPr>
          <w:rFonts w:ascii="Times New Roman" w:hAnsi="Times New Roman" w:cs="Times New Roman"/>
          <w:sz w:val="20"/>
          <w:szCs w:val="20"/>
        </w:rPr>
        <w:t>s</w:t>
      </w:r>
      <w:r w:rsidRPr="00A019BA">
        <w:rPr>
          <w:rFonts w:ascii="Times New Roman" w:hAnsi="Times New Roman" w:cs="Times New Roman"/>
          <w:sz w:val="20"/>
          <w:szCs w:val="20"/>
        </w:rPr>
        <w:t xml:space="preserve">tates and </w:t>
      </w:r>
      <w:r>
        <w:rPr>
          <w:rFonts w:ascii="Times New Roman" w:hAnsi="Times New Roman" w:cs="Times New Roman"/>
          <w:sz w:val="20"/>
          <w:szCs w:val="20"/>
        </w:rPr>
        <w:t>their</w:t>
      </w:r>
      <w:r w:rsidRPr="00A019BA">
        <w:rPr>
          <w:rFonts w:ascii="Times New Roman" w:hAnsi="Times New Roman" w:cs="Times New Roman"/>
          <w:sz w:val="20"/>
          <w:szCs w:val="20"/>
        </w:rPr>
        <w:t xml:space="preserve"> level of </w:t>
      </w:r>
      <w:r>
        <w:rPr>
          <w:rFonts w:ascii="Times New Roman" w:hAnsi="Times New Roman" w:cs="Times New Roman"/>
          <w:sz w:val="20"/>
          <w:szCs w:val="20"/>
        </w:rPr>
        <w:t xml:space="preserve">economic </w:t>
      </w:r>
      <w:r w:rsidRPr="00A019BA">
        <w:rPr>
          <w:rFonts w:ascii="Times New Roman" w:hAnsi="Times New Roman" w:cs="Times New Roman"/>
          <w:sz w:val="20"/>
          <w:szCs w:val="20"/>
        </w:rPr>
        <w:t>development.</w:t>
      </w:r>
    </w:p>
    <w:p w:rsidR="00E33E7A" w:rsidRPr="00A019BA" w:rsidRDefault="00E33E7A" w:rsidP="00A019BA">
      <w:pPr>
        <w:spacing w:after="0" w:line="240" w:lineRule="auto"/>
        <w:jc w:val="both"/>
        <w:rPr>
          <w:rFonts w:ascii="Times New Roman" w:hAnsi="Times New Roman" w:cs="Times New Roman"/>
          <w:sz w:val="20"/>
          <w:szCs w:val="20"/>
        </w:rPr>
      </w:pPr>
      <w:r w:rsidRPr="00A019BA">
        <w:rPr>
          <w:rFonts w:ascii="Times New Roman" w:hAnsi="Times New Roman" w:cs="Times New Roman"/>
          <w:sz w:val="20"/>
          <w:szCs w:val="20"/>
        </w:rPr>
        <w:t xml:space="preserve">Thus, the EU advertising market accounted for over € 153 billion in terms of </w:t>
      </w:r>
      <w:r>
        <w:rPr>
          <w:rFonts w:ascii="Times New Roman" w:hAnsi="Times New Roman" w:cs="Times New Roman"/>
          <w:sz w:val="20"/>
          <w:szCs w:val="20"/>
        </w:rPr>
        <w:t>t</w:t>
      </w:r>
      <w:r w:rsidRPr="00A019BA">
        <w:rPr>
          <w:rFonts w:ascii="Times New Roman" w:hAnsi="Times New Roman" w:cs="Times New Roman"/>
          <w:sz w:val="20"/>
          <w:szCs w:val="20"/>
        </w:rPr>
        <w:t xml:space="preserve">urnover or gross premiums written in 2015, with almost 90% owned by the old EU countries. During the period 2011-2015, the indicator showed an upward trend, but this was also not the case for individual states (some of them declining). As far as the number of </w:t>
      </w:r>
      <w:r>
        <w:rPr>
          <w:rFonts w:ascii="Times New Roman" w:hAnsi="Times New Roman" w:cs="Times New Roman"/>
          <w:sz w:val="20"/>
          <w:szCs w:val="20"/>
        </w:rPr>
        <w:t>enterprisers in advertising</w:t>
      </w:r>
      <w:r w:rsidRPr="00A019BA">
        <w:rPr>
          <w:rFonts w:ascii="Times New Roman" w:hAnsi="Times New Roman" w:cs="Times New Roman"/>
          <w:sz w:val="20"/>
          <w:szCs w:val="20"/>
        </w:rPr>
        <w:t xml:space="preserve"> is concerned, there were almost 244</w:t>
      </w:r>
      <w:r>
        <w:rPr>
          <w:rFonts w:ascii="Times New Roman" w:hAnsi="Times New Roman" w:cs="Times New Roman"/>
          <w:sz w:val="20"/>
          <w:szCs w:val="20"/>
        </w:rPr>
        <w:t>.</w:t>
      </w:r>
      <w:r w:rsidRPr="00A019BA">
        <w:rPr>
          <w:rFonts w:ascii="Times New Roman" w:hAnsi="Times New Roman" w:cs="Times New Roman"/>
          <w:sz w:val="20"/>
          <w:szCs w:val="20"/>
        </w:rPr>
        <w:t xml:space="preserve">000 organizations in the </w:t>
      </w:r>
      <w:r>
        <w:rPr>
          <w:rFonts w:ascii="Times New Roman" w:hAnsi="Times New Roman" w:cs="Times New Roman"/>
          <w:sz w:val="20"/>
          <w:szCs w:val="20"/>
        </w:rPr>
        <w:t>c</w:t>
      </w:r>
      <w:r w:rsidRPr="00A019BA">
        <w:rPr>
          <w:rFonts w:ascii="Times New Roman" w:hAnsi="Times New Roman" w:cs="Times New Roman"/>
          <w:sz w:val="20"/>
          <w:szCs w:val="20"/>
        </w:rPr>
        <w:t xml:space="preserve">ommunity space in 2014, of which almost 75% belonged to the old </w:t>
      </w:r>
      <w:r>
        <w:rPr>
          <w:rFonts w:ascii="Times New Roman" w:hAnsi="Times New Roman" w:cs="Times New Roman"/>
          <w:sz w:val="20"/>
          <w:szCs w:val="20"/>
        </w:rPr>
        <w:t>m</w:t>
      </w:r>
      <w:r w:rsidRPr="00A019BA">
        <w:rPr>
          <w:rFonts w:ascii="Times New Roman" w:hAnsi="Times New Roman" w:cs="Times New Roman"/>
          <w:sz w:val="20"/>
          <w:szCs w:val="20"/>
        </w:rPr>
        <w:t xml:space="preserve">ember </w:t>
      </w:r>
      <w:r>
        <w:rPr>
          <w:rFonts w:ascii="Times New Roman" w:hAnsi="Times New Roman" w:cs="Times New Roman"/>
          <w:sz w:val="20"/>
          <w:szCs w:val="20"/>
        </w:rPr>
        <w:t>s</w:t>
      </w:r>
      <w:r w:rsidRPr="00A019BA">
        <w:rPr>
          <w:rFonts w:ascii="Times New Roman" w:hAnsi="Times New Roman" w:cs="Times New Roman"/>
          <w:sz w:val="20"/>
          <w:szCs w:val="20"/>
        </w:rPr>
        <w:t>tates.</w:t>
      </w:r>
    </w:p>
    <w:p w:rsidR="00E33E7A" w:rsidRPr="00AB08FC" w:rsidRDefault="00E33E7A" w:rsidP="00A019BA">
      <w:pPr>
        <w:spacing w:after="0" w:line="240" w:lineRule="auto"/>
        <w:jc w:val="both"/>
        <w:rPr>
          <w:rFonts w:ascii="Times New Roman" w:hAnsi="Times New Roman" w:cs="Times New Roman"/>
          <w:sz w:val="20"/>
          <w:szCs w:val="20"/>
        </w:rPr>
      </w:pPr>
      <w:r w:rsidRPr="00A019BA">
        <w:rPr>
          <w:rFonts w:ascii="Times New Roman" w:hAnsi="Times New Roman" w:cs="Times New Roman"/>
          <w:sz w:val="20"/>
          <w:szCs w:val="20"/>
        </w:rPr>
        <w:t xml:space="preserve">There is a close link to the level of </w:t>
      </w:r>
      <w:r>
        <w:rPr>
          <w:rFonts w:ascii="Times New Roman" w:hAnsi="Times New Roman" w:cs="Times New Roman"/>
          <w:sz w:val="20"/>
          <w:szCs w:val="20"/>
        </w:rPr>
        <w:t>c</w:t>
      </w:r>
      <w:r w:rsidRPr="00A019BA">
        <w:rPr>
          <w:rFonts w:ascii="Times New Roman" w:hAnsi="Times New Roman" w:cs="Times New Roman"/>
          <w:sz w:val="20"/>
          <w:szCs w:val="20"/>
        </w:rPr>
        <w:t xml:space="preserve">ommunity space between the macroeconomic outcomes </w:t>
      </w:r>
      <w:r>
        <w:rPr>
          <w:rFonts w:ascii="Times New Roman" w:hAnsi="Times New Roman" w:cs="Times New Roman"/>
          <w:sz w:val="20"/>
          <w:szCs w:val="20"/>
        </w:rPr>
        <w:t>such as</w:t>
      </w:r>
      <w:r w:rsidRPr="00A019BA">
        <w:rPr>
          <w:rFonts w:ascii="Times New Roman" w:hAnsi="Times New Roman" w:cs="Times New Roman"/>
          <w:sz w:val="20"/>
          <w:szCs w:val="20"/>
        </w:rPr>
        <w:t xml:space="preserve"> the Gross </w:t>
      </w:r>
      <w:r>
        <w:rPr>
          <w:rFonts w:ascii="Times New Roman" w:hAnsi="Times New Roman" w:cs="Times New Roman"/>
          <w:sz w:val="20"/>
          <w:szCs w:val="20"/>
        </w:rPr>
        <w:t>d</w:t>
      </w:r>
      <w:r w:rsidRPr="00A019BA">
        <w:rPr>
          <w:rFonts w:ascii="Times New Roman" w:hAnsi="Times New Roman" w:cs="Times New Roman"/>
          <w:sz w:val="20"/>
          <w:szCs w:val="20"/>
        </w:rPr>
        <w:t xml:space="preserve">omestic </w:t>
      </w:r>
      <w:r>
        <w:rPr>
          <w:rFonts w:ascii="Times New Roman" w:hAnsi="Times New Roman" w:cs="Times New Roman"/>
          <w:sz w:val="20"/>
          <w:szCs w:val="20"/>
        </w:rPr>
        <w:t>p</w:t>
      </w:r>
      <w:r w:rsidRPr="00A019BA">
        <w:rPr>
          <w:rFonts w:ascii="Times New Roman" w:hAnsi="Times New Roman" w:cs="Times New Roman"/>
          <w:sz w:val="20"/>
          <w:szCs w:val="20"/>
        </w:rPr>
        <w:t>roduct and the size of the advertising market assessed based on the Turnover or gross premiums written indicator, with higher macroeconomic outcomes being associated with larger advertising markets.</w:t>
      </w:r>
    </w:p>
    <w:p w:rsidR="00E33E7A" w:rsidRPr="00AB08FC" w:rsidRDefault="00E33E7A" w:rsidP="00937E73">
      <w:pPr>
        <w:spacing w:after="0" w:line="240" w:lineRule="auto"/>
        <w:jc w:val="both"/>
        <w:rPr>
          <w:rFonts w:ascii="Times New Roman" w:hAnsi="Times New Roman" w:cs="Times New Roman"/>
          <w:b/>
          <w:bCs/>
        </w:rPr>
      </w:pPr>
      <w:bookmarkStart w:id="2" w:name="_GoBack"/>
      <w:bookmarkEnd w:id="2"/>
    </w:p>
    <w:p w:rsidR="00E33E7A" w:rsidRPr="00AB08FC" w:rsidRDefault="00E33E7A" w:rsidP="00937E73">
      <w:pPr>
        <w:spacing w:after="0" w:line="240" w:lineRule="auto"/>
        <w:jc w:val="both"/>
        <w:rPr>
          <w:rFonts w:ascii="Times New Roman" w:hAnsi="Times New Roman" w:cs="Times New Roman"/>
          <w:b/>
          <w:bCs/>
        </w:rPr>
      </w:pPr>
    </w:p>
    <w:p w:rsidR="00E33E7A" w:rsidRPr="00AB08FC" w:rsidRDefault="00E33E7A" w:rsidP="00937E73">
      <w:pPr>
        <w:spacing w:after="0" w:line="240" w:lineRule="auto"/>
        <w:jc w:val="both"/>
        <w:rPr>
          <w:rFonts w:ascii="Times New Roman" w:hAnsi="Times New Roman" w:cs="Times New Roman"/>
          <w:b/>
          <w:bCs/>
        </w:rPr>
      </w:pPr>
      <w:r w:rsidRPr="00AB08FC">
        <w:rPr>
          <w:rFonts w:ascii="Times New Roman" w:hAnsi="Times New Roman" w:cs="Times New Roman"/>
          <w:b/>
          <w:bCs/>
        </w:rPr>
        <w:t xml:space="preserve">References </w:t>
      </w:r>
    </w:p>
    <w:p w:rsidR="00E33E7A" w:rsidRPr="00AB08FC" w:rsidRDefault="00E33E7A" w:rsidP="00937E73">
      <w:pPr>
        <w:spacing w:after="0" w:line="240" w:lineRule="auto"/>
        <w:ind w:left="562" w:hanging="562"/>
        <w:jc w:val="both"/>
        <w:rPr>
          <w:rFonts w:ascii="Times New Roman" w:hAnsi="Times New Roman" w:cs="Times New Roman"/>
          <w:sz w:val="20"/>
          <w:szCs w:val="20"/>
        </w:rPr>
      </w:pPr>
      <w:r w:rsidRPr="00AB08FC">
        <w:rPr>
          <w:rFonts w:ascii="Times New Roman" w:hAnsi="Times New Roman" w:cs="Times New Roman"/>
          <w:sz w:val="20"/>
          <w:szCs w:val="20"/>
        </w:rPr>
        <w:t xml:space="preserve">Harja E., Ţimiraş L.C. (2009), </w:t>
      </w:r>
      <w:r w:rsidRPr="00AB08FC">
        <w:rPr>
          <w:rFonts w:ascii="Times New Roman" w:hAnsi="Times New Roman" w:cs="Times New Roman"/>
          <w:i/>
          <w:iCs/>
          <w:sz w:val="20"/>
          <w:szCs w:val="20"/>
        </w:rPr>
        <w:t>Metode statistice utilizate în cercetarea de marketing</w:t>
      </w:r>
      <w:r w:rsidRPr="00AB08FC">
        <w:rPr>
          <w:rFonts w:ascii="Times New Roman" w:hAnsi="Times New Roman" w:cs="Times New Roman"/>
          <w:sz w:val="20"/>
          <w:szCs w:val="20"/>
        </w:rPr>
        <w:t>, Bacau, Editura Alma Mater</w:t>
      </w:r>
    </w:p>
    <w:p w:rsidR="00E33E7A" w:rsidRDefault="00E33E7A" w:rsidP="0095426A">
      <w:pPr>
        <w:spacing w:after="0" w:line="240" w:lineRule="auto"/>
        <w:ind w:left="562" w:hanging="562"/>
        <w:jc w:val="both"/>
        <w:rPr>
          <w:rFonts w:ascii="Times New Roman" w:hAnsi="Times New Roman" w:cs="Times New Roman"/>
          <w:sz w:val="20"/>
          <w:szCs w:val="20"/>
        </w:rPr>
      </w:pPr>
      <w:r w:rsidRPr="00AB08FC">
        <w:rPr>
          <w:rFonts w:ascii="Times New Roman" w:hAnsi="Times New Roman" w:cs="Times New Roman"/>
          <w:sz w:val="20"/>
          <w:szCs w:val="20"/>
        </w:rPr>
        <w:t>Nichifor, B. (2014), Global Advertising Market – The Dynamics Of The Last Decade</w:t>
      </w:r>
      <w:r w:rsidRPr="00AB08FC">
        <w:rPr>
          <w:rStyle w:val="hps"/>
          <w:rFonts w:ascii="Times New Roman" w:hAnsi="Times New Roman" w:cs="Times New Roman"/>
          <w:sz w:val="20"/>
          <w:szCs w:val="20"/>
        </w:rPr>
        <w:t xml:space="preserve">, </w:t>
      </w:r>
      <w:hyperlink r:id="rId26" w:history="1">
        <w:r w:rsidRPr="00AB08FC">
          <w:rPr>
            <w:rStyle w:val="Hyperlink"/>
            <w:rFonts w:ascii="Times New Roman" w:hAnsi="Times New Roman" w:cs="Times New Roman"/>
            <w:i/>
            <w:iCs/>
            <w:color w:val="auto"/>
            <w:sz w:val="20"/>
            <w:szCs w:val="20"/>
            <w:u w:val="none"/>
          </w:rPr>
          <w:t>Studies and Scientific Researches - Economics Edition</w:t>
        </w:r>
      </w:hyperlink>
      <w:r w:rsidRPr="00AB08FC">
        <w:rPr>
          <w:rFonts w:ascii="Times New Roman" w:hAnsi="Times New Roman" w:cs="Times New Roman"/>
          <w:sz w:val="20"/>
          <w:szCs w:val="20"/>
        </w:rPr>
        <w:t xml:space="preserve">, No. 20, pp. 196-202, available at </w:t>
      </w:r>
      <w:hyperlink r:id="rId27" w:history="1">
        <w:r w:rsidRPr="0026620B">
          <w:rPr>
            <w:rStyle w:val="Hyperlink"/>
            <w:rFonts w:ascii="Times New Roman" w:hAnsi="Times New Roman" w:cs="Times New Roman"/>
            <w:color w:val="auto"/>
            <w:sz w:val="20"/>
            <w:szCs w:val="20"/>
            <w:u w:val="none"/>
          </w:rPr>
          <w:t>http://sceco.ub.ro/index.php/SCECO/issue/view/12</w:t>
        </w:r>
      </w:hyperlink>
    </w:p>
    <w:p w:rsidR="00E33E7A" w:rsidRPr="00AB08FC" w:rsidRDefault="00E33E7A" w:rsidP="0095426A">
      <w:pPr>
        <w:spacing w:after="0" w:line="240" w:lineRule="auto"/>
        <w:ind w:left="562" w:hanging="562"/>
        <w:jc w:val="both"/>
        <w:rPr>
          <w:rFonts w:ascii="Times New Roman" w:hAnsi="Times New Roman" w:cs="Times New Roman"/>
          <w:sz w:val="20"/>
          <w:szCs w:val="20"/>
        </w:rPr>
      </w:pPr>
      <w:bookmarkStart w:id="3" w:name="OLE_LINK4"/>
      <w:bookmarkStart w:id="4" w:name="OLE_LINK5"/>
      <w:r>
        <w:rPr>
          <w:rFonts w:ascii="Times New Roman" w:hAnsi="Times New Roman" w:cs="Times New Roman"/>
          <w:sz w:val="20"/>
          <w:szCs w:val="20"/>
        </w:rPr>
        <w:t xml:space="preserve">Sincich, T. (1989), </w:t>
      </w:r>
      <w:r w:rsidRPr="0026620B">
        <w:rPr>
          <w:rFonts w:ascii="Times New Roman" w:hAnsi="Times New Roman" w:cs="Times New Roman"/>
          <w:i/>
          <w:iCs/>
          <w:sz w:val="20"/>
          <w:szCs w:val="20"/>
        </w:rPr>
        <w:t>Business Statistics by Example</w:t>
      </w:r>
      <w:r>
        <w:rPr>
          <w:rFonts w:ascii="Times New Roman" w:hAnsi="Times New Roman" w:cs="Times New Roman"/>
          <w:sz w:val="20"/>
          <w:szCs w:val="20"/>
        </w:rPr>
        <w:t xml:space="preserve">. </w:t>
      </w:r>
      <w:r w:rsidRPr="0026620B">
        <w:rPr>
          <w:rFonts w:ascii="Times New Roman" w:hAnsi="Times New Roman" w:cs="Times New Roman"/>
          <w:i/>
          <w:iCs/>
          <w:sz w:val="20"/>
          <w:szCs w:val="20"/>
        </w:rPr>
        <w:t>Third Edition</w:t>
      </w:r>
      <w:r>
        <w:rPr>
          <w:rFonts w:ascii="Times New Roman" w:hAnsi="Times New Roman" w:cs="Times New Roman"/>
          <w:sz w:val="20"/>
          <w:szCs w:val="20"/>
        </w:rPr>
        <w:t>, Dellen Publishing Company</w:t>
      </w:r>
    </w:p>
    <w:bookmarkEnd w:id="3"/>
    <w:bookmarkEnd w:id="4"/>
    <w:p w:rsidR="00E33E7A" w:rsidRPr="00AB08FC" w:rsidRDefault="00E33E7A" w:rsidP="00E56F2D">
      <w:pPr>
        <w:spacing w:after="0" w:line="240" w:lineRule="auto"/>
        <w:ind w:left="562" w:hanging="562"/>
        <w:jc w:val="both"/>
        <w:rPr>
          <w:rFonts w:ascii="Times New Roman" w:hAnsi="Times New Roman" w:cs="Times New Roman"/>
          <w:b/>
          <w:bCs/>
          <w:sz w:val="20"/>
          <w:szCs w:val="20"/>
        </w:rPr>
      </w:pPr>
      <w:r>
        <w:fldChar w:fldCharType="begin"/>
      </w:r>
      <w:r>
        <w:instrText>HYPERLINK "http://www.businessrevieweurope.eu/authors/102/Tom-Wadlow"</w:instrText>
      </w:r>
      <w:r>
        <w:rPr>
          <w:rFonts w:cs="Times New Roman"/>
        </w:rPr>
      </w:r>
      <w:r>
        <w:fldChar w:fldCharType="separate"/>
      </w:r>
      <w:r w:rsidRPr="00AB08FC">
        <w:rPr>
          <w:rStyle w:val="Hyperlink"/>
          <w:rFonts w:ascii="Times New Roman" w:hAnsi="Times New Roman" w:cs="Times New Roman"/>
          <w:color w:val="auto"/>
          <w:sz w:val="20"/>
          <w:szCs w:val="20"/>
          <w:u w:val="none"/>
          <w:shd w:val="clear" w:color="auto" w:fill="FFFFFF"/>
        </w:rPr>
        <w:t>Wadlow</w:t>
      </w:r>
      <w:r>
        <w:fldChar w:fldCharType="end"/>
      </w:r>
      <w:r w:rsidRPr="00AB08FC">
        <w:rPr>
          <w:rFonts w:ascii="Times New Roman" w:hAnsi="Times New Roman" w:cs="Times New Roman"/>
          <w:sz w:val="20"/>
          <w:szCs w:val="20"/>
        </w:rPr>
        <w:t xml:space="preserve">, T. (2016), </w:t>
      </w:r>
      <w:r w:rsidRPr="00AB08FC">
        <w:rPr>
          <w:rFonts w:ascii="Times New Roman" w:hAnsi="Times New Roman" w:cs="Times New Roman"/>
          <w:sz w:val="20"/>
          <w:szCs w:val="20"/>
          <w:shd w:val="clear" w:color="auto" w:fill="FFFFFF"/>
        </w:rPr>
        <w:t xml:space="preserve">Top 20 companies with the biggest advertising budget, </w:t>
      </w:r>
      <w:r w:rsidRPr="00AB08FC">
        <w:rPr>
          <w:rFonts w:ascii="Times New Roman" w:hAnsi="Times New Roman" w:cs="Times New Roman"/>
          <w:i/>
          <w:iCs/>
          <w:sz w:val="20"/>
          <w:szCs w:val="20"/>
        </w:rPr>
        <w:t>Business Review Europe</w:t>
      </w:r>
      <w:r w:rsidRPr="00AB08FC">
        <w:rPr>
          <w:rFonts w:ascii="Times New Roman" w:hAnsi="Times New Roman" w:cs="Times New Roman"/>
          <w:b/>
          <w:bCs/>
          <w:sz w:val="20"/>
          <w:szCs w:val="20"/>
        </w:rPr>
        <w:t xml:space="preserve">, </w:t>
      </w:r>
      <w:r w:rsidRPr="00AB08FC">
        <w:rPr>
          <w:rFonts w:ascii="Times New Roman" w:hAnsi="Times New Roman" w:cs="Times New Roman"/>
          <w:sz w:val="20"/>
          <w:szCs w:val="20"/>
        </w:rPr>
        <w:t>available at http://www.businessrevieweurope.eu</w:t>
      </w:r>
    </w:p>
    <w:p w:rsidR="00E33E7A" w:rsidRPr="00747180" w:rsidRDefault="00E33E7A" w:rsidP="00747180">
      <w:pPr>
        <w:spacing w:after="0" w:line="240" w:lineRule="auto"/>
        <w:ind w:left="562" w:hanging="562"/>
        <w:jc w:val="both"/>
        <w:rPr>
          <w:rFonts w:ascii="Times New Roman" w:hAnsi="Times New Roman" w:cs="Times New Roman"/>
          <w:sz w:val="20"/>
          <w:szCs w:val="20"/>
        </w:rPr>
      </w:pPr>
      <w:r w:rsidRPr="00747180">
        <w:rPr>
          <w:rFonts w:ascii="Times New Roman" w:hAnsi="Times New Roman" w:cs="Times New Roman"/>
          <w:color w:val="333333"/>
          <w:sz w:val="20"/>
          <w:szCs w:val="20"/>
        </w:rPr>
        <w:t>Delloite (2016),</w:t>
      </w:r>
      <w:r w:rsidRPr="00747180">
        <w:rPr>
          <w:rFonts w:ascii="Times New Roman" w:hAnsi="Times New Roman" w:cs="Times New Roman"/>
          <w:i/>
          <w:iCs/>
          <w:color w:val="333333"/>
          <w:sz w:val="20"/>
          <w:szCs w:val="20"/>
        </w:rPr>
        <w:t xml:space="preserve"> The economic contribution of advertising in Europe</w:t>
      </w:r>
      <w:r>
        <w:rPr>
          <w:rFonts w:ascii="Times New Roman" w:hAnsi="Times New Roman" w:cs="Times New Roman"/>
          <w:i/>
          <w:iCs/>
          <w:color w:val="333333"/>
          <w:sz w:val="20"/>
          <w:szCs w:val="20"/>
        </w:rPr>
        <w:t>.</w:t>
      </w:r>
      <w:r w:rsidRPr="00747180">
        <w:rPr>
          <w:rFonts w:ascii="Times New Roman" w:hAnsi="Times New Roman" w:cs="Times New Roman"/>
          <w:i/>
          <w:iCs/>
          <w:color w:val="333333"/>
          <w:sz w:val="20"/>
          <w:szCs w:val="20"/>
        </w:rPr>
        <w:t xml:space="preserve"> A report for the World Federation of Advertisers , </w:t>
      </w:r>
      <w:r w:rsidRPr="00747180">
        <w:rPr>
          <w:rFonts w:ascii="Times New Roman" w:hAnsi="Times New Roman" w:cs="Times New Roman"/>
          <w:sz w:val="20"/>
          <w:szCs w:val="20"/>
        </w:rPr>
        <w:t>available at https://www.iqads.ro/articol/37572/publicitatea-stimuleaza-cresterea-economica-in-uniunea-europeana</w:t>
      </w:r>
    </w:p>
    <w:p w:rsidR="00E33E7A" w:rsidRPr="00AB08FC" w:rsidRDefault="00E33E7A" w:rsidP="000730AC">
      <w:pPr>
        <w:spacing w:after="0" w:line="240" w:lineRule="auto"/>
        <w:ind w:left="562" w:hanging="562"/>
        <w:jc w:val="both"/>
        <w:rPr>
          <w:rFonts w:ascii="Times New Roman" w:hAnsi="Times New Roman" w:cs="Times New Roman"/>
          <w:sz w:val="20"/>
          <w:szCs w:val="20"/>
        </w:rPr>
      </w:pPr>
      <w:r w:rsidRPr="00AB08FC">
        <w:rPr>
          <w:rFonts w:ascii="Times New Roman" w:hAnsi="Times New Roman" w:cs="Times New Roman"/>
          <w:sz w:val="20"/>
          <w:szCs w:val="20"/>
        </w:rPr>
        <w:t xml:space="preserve">eMarketer (2016), </w:t>
      </w:r>
      <w:r w:rsidRPr="00AB08FC">
        <w:rPr>
          <w:rFonts w:ascii="Times New Roman" w:hAnsi="Times New Roman" w:cs="Times New Roman"/>
          <w:i/>
          <w:iCs/>
          <w:sz w:val="20"/>
          <w:szCs w:val="20"/>
        </w:rPr>
        <w:t>Worldwide Ad Spending: eMarketer's Updated Estimates and Forecast for 2015–2020</w:t>
      </w:r>
      <w:r w:rsidRPr="00AB08FC">
        <w:rPr>
          <w:rFonts w:ascii="Times New Roman" w:hAnsi="Times New Roman" w:cs="Times New Roman"/>
          <w:sz w:val="20"/>
          <w:szCs w:val="20"/>
        </w:rPr>
        <w:t>, available at https://www.emarketer.com</w:t>
      </w:r>
    </w:p>
    <w:p w:rsidR="00E33E7A" w:rsidRPr="003C4A82" w:rsidRDefault="00E33E7A" w:rsidP="00937E73">
      <w:pPr>
        <w:spacing w:after="0" w:line="240" w:lineRule="auto"/>
        <w:ind w:left="562" w:hanging="562"/>
        <w:jc w:val="both"/>
        <w:rPr>
          <w:rFonts w:ascii="Times New Roman" w:hAnsi="Times New Roman" w:cs="Times New Roman"/>
          <w:noProof/>
          <w:sz w:val="20"/>
          <w:szCs w:val="20"/>
          <w:lang w:val="it-IT"/>
        </w:rPr>
      </w:pPr>
      <w:r w:rsidRPr="003C4A82">
        <w:rPr>
          <w:rFonts w:ascii="Times New Roman" w:hAnsi="Times New Roman" w:cs="Times New Roman"/>
          <w:noProof/>
          <w:sz w:val="20"/>
          <w:szCs w:val="20"/>
          <w:lang w:val="it-IT"/>
        </w:rPr>
        <w:t xml:space="preserve">Eurostat (2017), </w:t>
      </w:r>
      <w:hyperlink r:id="rId28" w:history="1">
        <w:r w:rsidRPr="003C4A82">
          <w:rPr>
            <w:rStyle w:val="Hyperlink"/>
            <w:rFonts w:ascii="Times New Roman" w:hAnsi="Times New Roman" w:cs="Times New Roman"/>
            <w:noProof/>
            <w:color w:val="auto"/>
            <w:sz w:val="20"/>
            <w:szCs w:val="20"/>
            <w:u w:val="none"/>
            <w:lang w:val="it-IT"/>
          </w:rPr>
          <w:t>http://epp.eurostat.ec.europa.eu</w:t>
        </w:r>
      </w:hyperlink>
      <w:r w:rsidRPr="003C4A82">
        <w:rPr>
          <w:rFonts w:ascii="Times New Roman" w:hAnsi="Times New Roman" w:cs="Times New Roman"/>
          <w:noProof/>
          <w:sz w:val="20"/>
          <w:szCs w:val="20"/>
          <w:lang w:val="it-IT"/>
        </w:rPr>
        <w:t>.</w:t>
      </w:r>
    </w:p>
    <w:p w:rsidR="00E33E7A" w:rsidRPr="009F7379" w:rsidRDefault="00E33E7A" w:rsidP="00747180">
      <w:pPr>
        <w:spacing w:after="0" w:line="240" w:lineRule="auto"/>
        <w:ind w:left="562" w:hanging="562"/>
        <w:jc w:val="both"/>
        <w:rPr>
          <w:rFonts w:cs="Times New Roman"/>
          <w:lang w:val="it-IT"/>
        </w:rPr>
      </w:pPr>
      <w:r w:rsidRPr="003C4A82">
        <w:rPr>
          <w:rFonts w:ascii="Times New Roman" w:hAnsi="Times New Roman" w:cs="Times New Roman"/>
          <w:sz w:val="20"/>
          <w:szCs w:val="20"/>
          <w:lang w:val="it-IT"/>
        </w:rPr>
        <w:t xml:space="preserve">Statista Inc. (2017), </w:t>
      </w:r>
      <w:hyperlink r:id="rId29" w:history="1">
        <w:r w:rsidRPr="003C4A82">
          <w:rPr>
            <w:rStyle w:val="Hyperlink"/>
            <w:rFonts w:ascii="Times New Roman" w:hAnsi="Times New Roman" w:cs="Times New Roman"/>
            <w:color w:val="auto"/>
            <w:sz w:val="20"/>
            <w:szCs w:val="20"/>
            <w:u w:val="none"/>
            <w:lang w:val="it-IT"/>
          </w:rPr>
          <w:t>https://www.statista.com</w:t>
        </w:r>
      </w:hyperlink>
    </w:p>
    <w:p w:rsidR="00E33E7A" w:rsidRPr="009F7379" w:rsidRDefault="00E33E7A">
      <w:pPr>
        <w:rPr>
          <w:rFonts w:ascii="Times New Roman" w:hAnsi="Times New Roman" w:cs="Times New Roman"/>
          <w:sz w:val="20"/>
          <w:szCs w:val="20"/>
          <w:lang w:val="it-IT"/>
        </w:rPr>
      </w:pPr>
    </w:p>
    <w:sectPr w:rsidR="00E33E7A" w:rsidRPr="009F7379" w:rsidSect="005B583D">
      <w:pgSz w:w="10319" w:h="14571" w:code="13"/>
      <w:pgMar w:top="1134" w:right="1701"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3E7A" w:rsidRDefault="00E33E7A" w:rsidP="00513B27">
      <w:pPr>
        <w:spacing w:after="0" w:line="240" w:lineRule="auto"/>
        <w:rPr>
          <w:rFonts w:cs="Times New Roman"/>
        </w:rPr>
      </w:pPr>
      <w:r>
        <w:rPr>
          <w:rFonts w:cs="Times New Roman"/>
        </w:rPr>
        <w:separator/>
      </w:r>
    </w:p>
  </w:endnote>
  <w:endnote w:type="continuationSeparator" w:id="1">
    <w:p w:rsidR="00E33E7A" w:rsidRDefault="00E33E7A" w:rsidP="00513B27">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3E7A" w:rsidRDefault="00E33E7A" w:rsidP="00513B27">
      <w:pPr>
        <w:spacing w:after="0" w:line="240" w:lineRule="auto"/>
        <w:rPr>
          <w:rFonts w:cs="Times New Roman"/>
        </w:rPr>
      </w:pPr>
      <w:r>
        <w:rPr>
          <w:rFonts w:cs="Times New Roman"/>
        </w:rPr>
        <w:separator/>
      </w:r>
    </w:p>
  </w:footnote>
  <w:footnote w:type="continuationSeparator" w:id="1">
    <w:p w:rsidR="00E33E7A" w:rsidRDefault="00E33E7A" w:rsidP="00513B27">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67AF3"/>
    <w:multiLevelType w:val="hybridMultilevel"/>
    <w:tmpl w:val="B628BC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7A675D"/>
    <w:multiLevelType w:val="hybridMultilevel"/>
    <w:tmpl w:val="86D043C0"/>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nsid w:val="1C0F2AEE"/>
    <w:multiLevelType w:val="hybridMultilevel"/>
    <w:tmpl w:val="C2C82C8A"/>
    <w:lvl w:ilvl="0" w:tplc="D414C2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4A0564E7"/>
    <w:multiLevelType w:val="hybridMultilevel"/>
    <w:tmpl w:val="23106FC6"/>
    <w:lvl w:ilvl="0" w:tplc="BC884D0C">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4BAF3316"/>
    <w:multiLevelType w:val="multilevel"/>
    <w:tmpl w:val="FDEE24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57F941D7"/>
    <w:multiLevelType w:val="multilevel"/>
    <w:tmpl w:val="2F6CB6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59487183"/>
    <w:multiLevelType w:val="multilevel"/>
    <w:tmpl w:val="07C214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5C8E6BC8"/>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5E7F0854"/>
    <w:multiLevelType w:val="hybridMultilevel"/>
    <w:tmpl w:val="BA0E432C"/>
    <w:lvl w:ilvl="0" w:tplc="0FA217C8">
      <w:start w:val="1"/>
      <w:numFmt w:val="upperLetter"/>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9">
    <w:nsid w:val="71594004"/>
    <w:multiLevelType w:val="hybridMultilevel"/>
    <w:tmpl w:val="B15ED958"/>
    <w:lvl w:ilvl="0" w:tplc="0409000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7EB539E9"/>
    <w:multiLevelType w:val="hybridMultilevel"/>
    <w:tmpl w:val="C3680B7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0"/>
  </w:num>
  <w:num w:numId="2">
    <w:abstractNumId w:val="2"/>
  </w:num>
  <w:num w:numId="3">
    <w:abstractNumId w:val="10"/>
  </w:num>
  <w:num w:numId="4">
    <w:abstractNumId w:val="1"/>
  </w:num>
  <w:num w:numId="5">
    <w:abstractNumId w:val="8"/>
  </w:num>
  <w:num w:numId="6">
    <w:abstractNumId w:val="3"/>
  </w:num>
  <w:num w:numId="7">
    <w:abstractNumId w:val="4"/>
  </w:num>
  <w:num w:numId="8">
    <w:abstractNumId w:val="5"/>
  </w:num>
  <w:num w:numId="9">
    <w:abstractNumId w:val="7"/>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027B"/>
    <w:rsid w:val="00000543"/>
    <w:rsid w:val="00006EFD"/>
    <w:rsid w:val="00022262"/>
    <w:rsid w:val="0002359D"/>
    <w:rsid w:val="00046B08"/>
    <w:rsid w:val="00057D05"/>
    <w:rsid w:val="000617D6"/>
    <w:rsid w:val="00062A80"/>
    <w:rsid w:val="00072923"/>
    <w:rsid w:val="000730AC"/>
    <w:rsid w:val="00077774"/>
    <w:rsid w:val="000852C5"/>
    <w:rsid w:val="00085FAA"/>
    <w:rsid w:val="00090D10"/>
    <w:rsid w:val="00095A22"/>
    <w:rsid w:val="00096D44"/>
    <w:rsid w:val="000A2639"/>
    <w:rsid w:val="000A4D01"/>
    <w:rsid w:val="000A6F5B"/>
    <w:rsid w:val="000A7F29"/>
    <w:rsid w:val="000B0979"/>
    <w:rsid w:val="000B21C7"/>
    <w:rsid w:val="000B2291"/>
    <w:rsid w:val="000B2CAA"/>
    <w:rsid w:val="000C09C0"/>
    <w:rsid w:val="000C2C09"/>
    <w:rsid w:val="000C40F6"/>
    <w:rsid w:val="000D32E6"/>
    <w:rsid w:val="000D4F2A"/>
    <w:rsid w:val="000E04F2"/>
    <w:rsid w:val="000E36B6"/>
    <w:rsid w:val="000E6AA7"/>
    <w:rsid w:val="0010157B"/>
    <w:rsid w:val="00105A23"/>
    <w:rsid w:val="00106D92"/>
    <w:rsid w:val="001112EC"/>
    <w:rsid w:val="0011333C"/>
    <w:rsid w:val="001170AC"/>
    <w:rsid w:val="0011730C"/>
    <w:rsid w:val="00117560"/>
    <w:rsid w:val="001418E3"/>
    <w:rsid w:val="00142735"/>
    <w:rsid w:val="00142CEB"/>
    <w:rsid w:val="0015694E"/>
    <w:rsid w:val="00160D2C"/>
    <w:rsid w:val="00164573"/>
    <w:rsid w:val="00165A02"/>
    <w:rsid w:val="00166A61"/>
    <w:rsid w:val="0016740C"/>
    <w:rsid w:val="0016791E"/>
    <w:rsid w:val="00183C25"/>
    <w:rsid w:val="00185EA2"/>
    <w:rsid w:val="0019222C"/>
    <w:rsid w:val="00196407"/>
    <w:rsid w:val="001A6DAA"/>
    <w:rsid w:val="001B35CC"/>
    <w:rsid w:val="001B48E9"/>
    <w:rsid w:val="001D4791"/>
    <w:rsid w:val="001E5048"/>
    <w:rsid w:val="001E670E"/>
    <w:rsid w:val="001F243B"/>
    <w:rsid w:val="001F5946"/>
    <w:rsid w:val="001F595A"/>
    <w:rsid w:val="0020100F"/>
    <w:rsid w:val="00202083"/>
    <w:rsid w:val="00204720"/>
    <w:rsid w:val="00205DDA"/>
    <w:rsid w:val="00214C21"/>
    <w:rsid w:val="00225319"/>
    <w:rsid w:val="002276B6"/>
    <w:rsid w:val="002365F5"/>
    <w:rsid w:val="0023661C"/>
    <w:rsid w:val="00236D50"/>
    <w:rsid w:val="00243E56"/>
    <w:rsid w:val="00245547"/>
    <w:rsid w:val="00247224"/>
    <w:rsid w:val="002555B6"/>
    <w:rsid w:val="00262769"/>
    <w:rsid w:val="0026620B"/>
    <w:rsid w:val="00271D04"/>
    <w:rsid w:val="00275CCF"/>
    <w:rsid w:val="00290B9F"/>
    <w:rsid w:val="002930CC"/>
    <w:rsid w:val="0029693C"/>
    <w:rsid w:val="002A31FA"/>
    <w:rsid w:val="002A6988"/>
    <w:rsid w:val="002B024F"/>
    <w:rsid w:val="002C1304"/>
    <w:rsid w:val="002C2625"/>
    <w:rsid w:val="002E3EF6"/>
    <w:rsid w:val="002E64D4"/>
    <w:rsid w:val="002E7EC1"/>
    <w:rsid w:val="002F7052"/>
    <w:rsid w:val="00302C0D"/>
    <w:rsid w:val="00304007"/>
    <w:rsid w:val="00304796"/>
    <w:rsid w:val="0030615B"/>
    <w:rsid w:val="00321E78"/>
    <w:rsid w:val="00322EFD"/>
    <w:rsid w:val="003238DD"/>
    <w:rsid w:val="00326037"/>
    <w:rsid w:val="003325C1"/>
    <w:rsid w:val="00332CA0"/>
    <w:rsid w:val="00342DDF"/>
    <w:rsid w:val="00347364"/>
    <w:rsid w:val="00347DC6"/>
    <w:rsid w:val="00351226"/>
    <w:rsid w:val="003637D6"/>
    <w:rsid w:val="003662A8"/>
    <w:rsid w:val="00366499"/>
    <w:rsid w:val="00373787"/>
    <w:rsid w:val="00380FB7"/>
    <w:rsid w:val="00387E97"/>
    <w:rsid w:val="0039433A"/>
    <w:rsid w:val="003963F1"/>
    <w:rsid w:val="003B6842"/>
    <w:rsid w:val="003C1989"/>
    <w:rsid w:val="003C4A82"/>
    <w:rsid w:val="003D1DCF"/>
    <w:rsid w:val="003D7FA5"/>
    <w:rsid w:val="003E6E0C"/>
    <w:rsid w:val="003E7534"/>
    <w:rsid w:val="003E7736"/>
    <w:rsid w:val="003F421C"/>
    <w:rsid w:val="003F7E7B"/>
    <w:rsid w:val="004005B4"/>
    <w:rsid w:val="00401BE5"/>
    <w:rsid w:val="00403DD0"/>
    <w:rsid w:val="0040635F"/>
    <w:rsid w:val="0041597A"/>
    <w:rsid w:val="00420C38"/>
    <w:rsid w:val="00426526"/>
    <w:rsid w:val="00431041"/>
    <w:rsid w:val="004325B5"/>
    <w:rsid w:val="00446CAF"/>
    <w:rsid w:val="004537E0"/>
    <w:rsid w:val="00454629"/>
    <w:rsid w:val="004556CB"/>
    <w:rsid w:val="00455C55"/>
    <w:rsid w:val="0045765C"/>
    <w:rsid w:val="00464B10"/>
    <w:rsid w:val="004654A4"/>
    <w:rsid w:val="00465DB2"/>
    <w:rsid w:val="00466430"/>
    <w:rsid w:val="00477FB9"/>
    <w:rsid w:val="00486343"/>
    <w:rsid w:val="004A0F3E"/>
    <w:rsid w:val="004B468B"/>
    <w:rsid w:val="004C06B6"/>
    <w:rsid w:val="004C5061"/>
    <w:rsid w:val="004C6966"/>
    <w:rsid w:val="004E1AD3"/>
    <w:rsid w:val="004E3A4C"/>
    <w:rsid w:val="004F4586"/>
    <w:rsid w:val="004F4831"/>
    <w:rsid w:val="004F660D"/>
    <w:rsid w:val="004F7D34"/>
    <w:rsid w:val="00502615"/>
    <w:rsid w:val="00505E50"/>
    <w:rsid w:val="0050631F"/>
    <w:rsid w:val="005072E2"/>
    <w:rsid w:val="0051157C"/>
    <w:rsid w:val="00512B17"/>
    <w:rsid w:val="00513B27"/>
    <w:rsid w:val="005161FD"/>
    <w:rsid w:val="00522E9C"/>
    <w:rsid w:val="00531D02"/>
    <w:rsid w:val="00531DC5"/>
    <w:rsid w:val="005334F6"/>
    <w:rsid w:val="00533CC0"/>
    <w:rsid w:val="0053531B"/>
    <w:rsid w:val="005447DF"/>
    <w:rsid w:val="00545948"/>
    <w:rsid w:val="00550FB6"/>
    <w:rsid w:val="00551462"/>
    <w:rsid w:val="0055465E"/>
    <w:rsid w:val="005757FD"/>
    <w:rsid w:val="005767E4"/>
    <w:rsid w:val="00597F88"/>
    <w:rsid w:val="005A5948"/>
    <w:rsid w:val="005A6E0E"/>
    <w:rsid w:val="005A750D"/>
    <w:rsid w:val="005B2AB5"/>
    <w:rsid w:val="005B583D"/>
    <w:rsid w:val="005C5055"/>
    <w:rsid w:val="005D001F"/>
    <w:rsid w:val="005D14FC"/>
    <w:rsid w:val="005D56A9"/>
    <w:rsid w:val="005E23B0"/>
    <w:rsid w:val="005E69C7"/>
    <w:rsid w:val="005E7595"/>
    <w:rsid w:val="005F0CCF"/>
    <w:rsid w:val="005F1F23"/>
    <w:rsid w:val="00604D2B"/>
    <w:rsid w:val="006121E4"/>
    <w:rsid w:val="0061328B"/>
    <w:rsid w:val="00616481"/>
    <w:rsid w:val="006173CD"/>
    <w:rsid w:val="0062444A"/>
    <w:rsid w:val="00630F25"/>
    <w:rsid w:val="0063147D"/>
    <w:rsid w:val="00631A22"/>
    <w:rsid w:val="006358D5"/>
    <w:rsid w:val="006415C2"/>
    <w:rsid w:val="00644A55"/>
    <w:rsid w:val="0065081A"/>
    <w:rsid w:val="006546FD"/>
    <w:rsid w:val="006626DC"/>
    <w:rsid w:val="00665524"/>
    <w:rsid w:val="00671D85"/>
    <w:rsid w:val="006734A2"/>
    <w:rsid w:val="00677755"/>
    <w:rsid w:val="006932C1"/>
    <w:rsid w:val="006B0A17"/>
    <w:rsid w:val="006B1579"/>
    <w:rsid w:val="006B7D6D"/>
    <w:rsid w:val="006C1756"/>
    <w:rsid w:val="006C4946"/>
    <w:rsid w:val="006D6B3F"/>
    <w:rsid w:val="006D73DC"/>
    <w:rsid w:val="006D767D"/>
    <w:rsid w:val="00714FC3"/>
    <w:rsid w:val="00717C13"/>
    <w:rsid w:val="00726753"/>
    <w:rsid w:val="00732CD8"/>
    <w:rsid w:val="007360A2"/>
    <w:rsid w:val="00741D43"/>
    <w:rsid w:val="00747180"/>
    <w:rsid w:val="00753A17"/>
    <w:rsid w:val="007540CB"/>
    <w:rsid w:val="00761708"/>
    <w:rsid w:val="0076280C"/>
    <w:rsid w:val="00763567"/>
    <w:rsid w:val="007657E7"/>
    <w:rsid w:val="00775E72"/>
    <w:rsid w:val="00776319"/>
    <w:rsid w:val="007804CC"/>
    <w:rsid w:val="007836F9"/>
    <w:rsid w:val="007841D0"/>
    <w:rsid w:val="00787B97"/>
    <w:rsid w:val="00792F77"/>
    <w:rsid w:val="007A14F9"/>
    <w:rsid w:val="007B588D"/>
    <w:rsid w:val="007C3276"/>
    <w:rsid w:val="007E7BEE"/>
    <w:rsid w:val="00805B10"/>
    <w:rsid w:val="00810F5D"/>
    <w:rsid w:val="0081327B"/>
    <w:rsid w:val="00814A93"/>
    <w:rsid w:val="008220DC"/>
    <w:rsid w:val="008234C2"/>
    <w:rsid w:val="0083164C"/>
    <w:rsid w:val="008328E6"/>
    <w:rsid w:val="00842C8C"/>
    <w:rsid w:val="00845567"/>
    <w:rsid w:val="00845B7B"/>
    <w:rsid w:val="00853834"/>
    <w:rsid w:val="00862490"/>
    <w:rsid w:val="00883A76"/>
    <w:rsid w:val="00884435"/>
    <w:rsid w:val="00887ECB"/>
    <w:rsid w:val="008908CE"/>
    <w:rsid w:val="0089120F"/>
    <w:rsid w:val="008956AE"/>
    <w:rsid w:val="008B027B"/>
    <w:rsid w:val="008B5327"/>
    <w:rsid w:val="008C772E"/>
    <w:rsid w:val="008C7F7F"/>
    <w:rsid w:val="008D63A0"/>
    <w:rsid w:val="008E0043"/>
    <w:rsid w:val="009020E4"/>
    <w:rsid w:val="009027B3"/>
    <w:rsid w:val="00904363"/>
    <w:rsid w:val="009214AA"/>
    <w:rsid w:val="00921E41"/>
    <w:rsid w:val="00937E73"/>
    <w:rsid w:val="00937FA1"/>
    <w:rsid w:val="00943096"/>
    <w:rsid w:val="0095426A"/>
    <w:rsid w:val="00956487"/>
    <w:rsid w:val="00956872"/>
    <w:rsid w:val="009642C0"/>
    <w:rsid w:val="00966833"/>
    <w:rsid w:val="00970B25"/>
    <w:rsid w:val="0099744E"/>
    <w:rsid w:val="009A2349"/>
    <w:rsid w:val="009C0269"/>
    <w:rsid w:val="009C1F32"/>
    <w:rsid w:val="009C6231"/>
    <w:rsid w:val="009D69B5"/>
    <w:rsid w:val="009F0401"/>
    <w:rsid w:val="009F3C9F"/>
    <w:rsid w:val="009F3CD7"/>
    <w:rsid w:val="009F6849"/>
    <w:rsid w:val="009F7379"/>
    <w:rsid w:val="009F7447"/>
    <w:rsid w:val="00A00ECC"/>
    <w:rsid w:val="00A019BA"/>
    <w:rsid w:val="00A14493"/>
    <w:rsid w:val="00A15675"/>
    <w:rsid w:val="00A16093"/>
    <w:rsid w:val="00A164B0"/>
    <w:rsid w:val="00A16BC1"/>
    <w:rsid w:val="00A27B1D"/>
    <w:rsid w:val="00A309CF"/>
    <w:rsid w:val="00A322A7"/>
    <w:rsid w:val="00A3405C"/>
    <w:rsid w:val="00A3463E"/>
    <w:rsid w:val="00A34A24"/>
    <w:rsid w:val="00A42CF4"/>
    <w:rsid w:val="00A42D45"/>
    <w:rsid w:val="00A43946"/>
    <w:rsid w:val="00A44CE1"/>
    <w:rsid w:val="00A466CF"/>
    <w:rsid w:val="00A66253"/>
    <w:rsid w:val="00A67F67"/>
    <w:rsid w:val="00A71755"/>
    <w:rsid w:val="00A8621E"/>
    <w:rsid w:val="00A95ADD"/>
    <w:rsid w:val="00AA1236"/>
    <w:rsid w:val="00AA3A3B"/>
    <w:rsid w:val="00AA3F40"/>
    <w:rsid w:val="00AA4093"/>
    <w:rsid w:val="00AA6DBB"/>
    <w:rsid w:val="00AB08FC"/>
    <w:rsid w:val="00AB5AE4"/>
    <w:rsid w:val="00AB5B14"/>
    <w:rsid w:val="00AB60B8"/>
    <w:rsid w:val="00AB6101"/>
    <w:rsid w:val="00AD64B7"/>
    <w:rsid w:val="00AD75B9"/>
    <w:rsid w:val="00AE64DD"/>
    <w:rsid w:val="00AF387D"/>
    <w:rsid w:val="00B02622"/>
    <w:rsid w:val="00B03466"/>
    <w:rsid w:val="00B036CC"/>
    <w:rsid w:val="00B05544"/>
    <w:rsid w:val="00B221A4"/>
    <w:rsid w:val="00B36109"/>
    <w:rsid w:val="00B37F0D"/>
    <w:rsid w:val="00B41C92"/>
    <w:rsid w:val="00B449B6"/>
    <w:rsid w:val="00B46045"/>
    <w:rsid w:val="00B53800"/>
    <w:rsid w:val="00B822C7"/>
    <w:rsid w:val="00B82831"/>
    <w:rsid w:val="00B83E59"/>
    <w:rsid w:val="00B94AFC"/>
    <w:rsid w:val="00B958F4"/>
    <w:rsid w:val="00BA7195"/>
    <w:rsid w:val="00BB2DAC"/>
    <w:rsid w:val="00BB42D3"/>
    <w:rsid w:val="00BB64F0"/>
    <w:rsid w:val="00BD314F"/>
    <w:rsid w:val="00BE428C"/>
    <w:rsid w:val="00BF0061"/>
    <w:rsid w:val="00C01438"/>
    <w:rsid w:val="00C04A1C"/>
    <w:rsid w:val="00C051BA"/>
    <w:rsid w:val="00C069BD"/>
    <w:rsid w:val="00C1273D"/>
    <w:rsid w:val="00C15EF3"/>
    <w:rsid w:val="00C2328C"/>
    <w:rsid w:val="00C26CCA"/>
    <w:rsid w:val="00C26E2E"/>
    <w:rsid w:val="00C3398D"/>
    <w:rsid w:val="00C41349"/>
    <w:rsid w:val="00C50AA1"/>
    <w:rsid w:val="00C50F55"/>
    <w:rsid w:val="00C5145B"/>
    <w:rsid w:val="00C528F6"/>
    <w:rsid w:val="00C62736"/>
    <w:rsid w:val="00C66FF3"/>
    <w:rsid w:val="00C673CD"/>
    <w:rsid w:val="00C67659"/>
    <w:rsid w:val="00C70F70"/>
    <w:rsid w:val="00C812B4"/>
    <w:rsid w:val="00C86F64"/>
    <w:rsid w:val="00C97AE4"/>
    <w:rsid w:val="00CA1067"/>
    <w:rsid w:val="00CA3E76"/>
    <w:rsid w:val="00CB0197"/>
    <w:rsid w:val="00CB6617"/>
    <w:rsid w:val="00CB7A9D"/>
    <w:rsid w:val="00CD0959"/>
    <w:rsid w:val="00CD367B"/>
    <w:rsid w:val="00CE0DF0"/>
    <w:rsid w:val="00CE3ED6"/>
    <w:rsid w:val="00CE4770"/>
    <w:rsid w:val="00CE5F59"/>
    <w:rsid w:val="00CF6E4B"/>
    <w:rsid w:val="00D07CC6"/>
    <w:rsid w:val="00D15667"/>
    <w:rsid w:val="00D22FBB"/>
    <w:rsid w:val="00D239AF"/>
    <w:rsid w:val="00D27390"/>
    <w:rsid w:val="00D402C7"/>
    <w:rsid w:val="00D43061"/>
    <w:rsid w:val="00D47092"/>
    <w:rsid w:val="00D4737E"/>
    <w:rsid w:val="00D55E0F"/>
    <w:rsid w:val="00D5781A"/>
    <w:rsid w:val="00D604EF"/>
    <w:rsid w:val="00D63422"/>
    <w:rsid w:val="00D71A24"/>
    <w:rsid w:val="00D72D6F"/>
    <w:rsid w:val="00D82A70"/>
    <w:rsid w:val="00D8744A"/>
    <w:rsid w:val="00D90B0E"/>
    <w:rsid w:val="00D939BF"/>
    <w:rsid w:val="00DA1D42"/>
    <w:rsid w:val="00DA5090"/>
    <w:rsid w:val="00DB4F67"/>
    <w:rsid w:val="00DD418F"/>
    <w:rsid w:val="00DE08A0"/>
    <w:rsid w:val="00DE16D6"/>
    <w:rsid w:val="00DE71FB"/>
    <w:rsid w:val="00DF2542"/>
    <w:rsid w:val="00DF6A1F"/>
    <w:rsid w:val="00E06F90"/>
    <w:rsid w:val="00E0770B"/>
    <w:rsid w:val="00E131C9"/>
    <w:rsid w:val="00E2186E"/>
    <w:rsid w:val="00E250A3"/>
    <w:rsid w:val="00E26F7C"/>
    <w:rsid w:val="00E33A2A"/>
    <w:rsid w:val="00E33E7A"/>
    <w:rsid w:val="00E40C72"/>
    <w:rsid w:val="00E506B2"/>
    <w:rsid w:val="00E56F2D"/>
    <w:rsid w:val="00E650A2"/>
    <w:rsid w:val="00E746FA"/>
    <w:rsid w:val="00E76CAD"/>
    <w:rsid w:val="00E7702F"/>
    <w:rsid w:val="00E82CA1"/>
    <w:rsid w:val="00E83DC0"/>
    <w:rsid w:val="00E844AC"/>
    <w:rsid w:val="00E91424"/>
    <w:rsid w:val="00E946A8"/>
    <w:rsid w:val="00EA38CE"/>
    <w:rsid w:val="00EB4A0E"/>
    <w:rsid w:val="00EB6975"/>
    <w:rsid w:val="00ED7130"/>
    <w:rsid w:val="00EE386A"/>
    <w:rsid w:val="00EE6B0C"/>
    <w:rsid w:val="00EF0D2C"/>
    <w:rsid w:val="00F04A5E"/>
    <w:rsid w:val="00F06B46"/>
    <w:rsid w:val="00F10DD9"/>
    <w:rsid w:val="00F14A6E"/>
    <w:rsid w:val="00F3633D"/>
    <w:rsid w:val="00F36DA3"/>
    <w:rsid w:val="00F420F3"/>
    <w:rsid w:val="00F45C7E"/>
    <w:rsid w:val="00F472E9"/>
    <w:rsid w:val="00F608E7"/>
    <w:rsid w:val="00F62774"/>
    <w:rsid w:val="00F6726A"/>
    <w:rsid w:val="00F8262B"/>
    <w:rsid w:val="00F851C0"/>
    <w:rsid w:val="00F9797F"/>
    <w:rsid w:val="00FB5905"/>
    <w:rsid w:val="00FC12B4"/>
    <w:rsid w:val="00FC6B0F"/>
    <w:rsid w:val="00FC771B"/>
    <w:rsid w:val="00FD0EE5"/>
    <w:rsid w:val="00FD4386"/>
    <w:rsid w:val="00FE7B30"/>
    <w:rsid w:val="00FF0545"/>
    <w:rsid w:val="00FF7E7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245547"/>
    <w:pPr>
      <w:spacing w:after="200" w:line="276" w:lineRule="auto"/>
    </w:pPr>
    <w:rPr>
      <w:rFonts w:eastAsia="Times New Roman" w:cs="Calibri"/>
    </w:rPr>
  </w:style>
  <w:style w:type="paragraph" w:styleId="Heading1">
    <w:name w:val="heading 1"/>
    <w:basedOn w:val="Normal"/>
    <w:next w:val="Normal"/>
    <w:link w:val="Heading1Char"/>
    <w:uiPriority w:val="99"/>
    <w:qFormat/>
    <w:locked/>
    <w:rsid w:val="006D73DC"/>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9"/>
    <w:qFormat/>
    <w:locked/>
    <w:rsid w:val="00C41349"/>
    <w:pPr>
      <w:spacing w:before="100" w:beforeAutospacing="1" w:after="100" w:afterAutospacing="1" w:line="240" w:lineRule="auto"/>
      <w:outlineLvl w:val="1"/>
    </w:pPr>
    <w:rPr>
      <w:rFonts w:ascii="Times New Roman" w:hAnsi="Times New Roman" w:cs="Times New Roman"/>
      <w:b/>
      <w:bCs/>
      <w:sz w:val="36"/>
      <w:szCs w:val="36"/>
    </w:rPr>
  </w:style>
  <w:style w:type="paragraph" w:styleId="Heading3">
    <w:name w:val="heading 3"/>
    <w:basedOn w:val="Normal"/>
    <w:next w:val="Normal"/>
    <w:link w:val="Heading3Char"/>
    <w:uiPriority w:val="99"/>
    <w:qFormat/>
    <w:locked/>
    <w:rsid w:val="0095426A"/>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locked/>
    <w:rsid w:val="00AA3A3B"/>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F3CD7"/>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9F3CD7"/>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9F3CD7"/>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9F3CD7"/>
    <w:rPr>
      <w:rFonts w:ascii="Calibri" w:hAnsi="Calibri" w:cs="Calibri"/>
      <w:b/>
      <w:bCs/>
      <w:sz w:val="28"/>
      <w:szCs w:val="28"/>
    </w:rPr>
  </w:style>
  <w:style w:type="paragraph" w:customStyle="1" w:styleId="Listparagraf1">
    <w:name w:val="Listă paragraf1"/>
    <w:basedOn w:val="Normal"/>
    <w:uiPriority w:val="99"/>
    <w:rsid w:val="005072E2"/>
    <w:pPr>
      <w:ind w:left="720"/>
    </w:pPr>
  </w:style>
  <w:style w:type="paragraph" w:styleId="FootnoteText">
    <w:name w:val="footnote text"/>
    <w:basedOn w:val="Normal"/>
    <w:link w:val="FootnoteTextChar"/>
    <w:uiPriority w:val="99"/>
    <w:semiHidden/>
    <w:rsid w:val="00513B27"/>
    <w:pPr>
      <w:spacing w:after="0" w:line="240" w:lineRule="auto"/>
    </w:pPr>
    <w:rPr>
      <w:rFonts w:eastAsia="Calibri"/>
      <w:sz w:val="20"/>
      <w:szCs w:val="20"/>
    </w:rPr>
  </w:style>
  <w:style w:type="character" w:customStyle="1" w:styleId="FootnoteTextChar">
    <w:name w:val="Footnote Text Char"/>
    <w:basedOn w:val="DefaultParagraphFont"/>
    <w:link w:val="FootnoteText"/>
    <w:uiPriority w:val="99"/>
    <w:semiHidden/>
    <w:locked/>
    <w:rsid w:val="00513B27"/>
    <w:rPr>
      <w:sz w:val="20"/>
      <w:szCs w:val="20"/>
    </w:rPr>
  </w:style>
  <w:style w:type="character" w:styleId="FootnoteReference">
    <w:name w:val="footnote reference"/>
    <w:basedOn w:val="DefaultParagraphFont"/>
    <w:uiPriority w:val="99"/>
    <w:semiHidden/>
    <w:rsid w:val="00513B27"/>
    <w:rPr>
      <w:vertAlign w:val="superscript"/>
    </w:rPr>
  </w:style>
  <w:style w:type="paragraph" w:styleId="EndnoteText">
    <w:name w:val="endnote text"/>
    <w:basedOn w:val="Normal"/>
    <w:link w:val="EndnoteTextChar"/>
    <w:uiPriority w:val="99"/>
    <w:semiHidden/>
    <w:rsid w:val="008C772E"/>
    <w:pPr>
      <w:spacing w:after="0" w:line="240" w:lineRule="auto"/>
    </w:pPr>
    <w:rPr>
      <w:rFonts w:eastAsia="Calibri"/>
      <w:sz w:val="20"/>
      <w:szCs w:val="20"/>
    </w:rPr>
  </w:style>
  <w:style w:type="character" w:customStyle="1" w:styleId="EndnoteTextChar">
    <w:name w:val="Endnote Text Char"/>
    <w:basedOn w:val="DefaultParagraphFont"/>
    <w:link w:val="EndnoteText"/>
    <w:uiPriority w:val="99"/>
    <w:semiHidden/>
    <w:locked/>
    <w:rsid w:val="008C772E"/>
    <w:rPr>
      <w:sz w:val="20"/>
      <w:szCs w:val="20"/>
    </w:rPr>
  </w:style>
  <w:style w:type="character" w:styleId="EndnoteReference">
    <w:name w:val="endnote reference"/>
    <w:basedOn w:val="DefaultParagraphFont"/>
    <w:uiPriority w:val="99"/>
    <w:semiHidden/>
    <w:rsid w:val="008C772E"/>
    <w:rPr>
      <w:vertAlign w:val="superscript"/>
    </w:rPr>
  </w:style>
  <w:style w:type="table" w:styleId="TableGrid">
    <w:name w:val="Table Grid"/>
    <w:basedOn w:val="TableNormal"/>
    <w:uiPriority w:val="99"/>
    <w:rsid w:val="008C7F7F"/>
    <w:rPr>
      <w:rFonts w:eastAsia="Times New Roman"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8C7F7F"/>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8C7F7F"/>
    <w:rPr>
      <w:rFonts w:ascii="Tahoma" w:hAnsi="Tahoma" w:cs="Tahoma"/>
      <w:sz w:val="16"/>
      <w:szCs w:val="16"/>
    </w:rPr>
  </w:style>
  <w:style w:type="character" w:styleId="Hyperlink">
    <w:name w:val="Hyperlink"/>
    <w:basedOn w:val="DefaultParagraphFont"/>
    <w:uiPriority w:val="99"/>
    <w:rsid w:val="009214AA"/>
    <w:rPr>
      <w:color w:val="0000FF"/>
      <w:u w:val="single"/>
    </w:rPr>
  </w:style>
  <w:style w:type="paragraph" w:styleId="Title">
    <w:name w:val="Title"/>
    <w:basedOn w:val="Normal"/>
    <w:link w:val="TitleChar"/>
    <w:uiPriority w:val="99"/>
    <w:qFormat/>
    <w:locked/>
    <w:rsid w:val="00A27B1D"/>
    <w:pPr>
      <w:spacing w:after="0" w:line="240" w:lineRule="auto"/>
      <w:jc w:val="center"/>
    </w:pPr>
    <w:rPr>
      <w:rFonts w:ascii="Times New Roman" w:hAnsi="Times New Roman" w:cs="Times New Roman"/>
      <w:b/>
      <w:bCs/>
      <w:sz w:val="24"/>
      <w:szCs w:val="24"/>
    </w:rPr>
  </w:style>
  <w:style w:type="character" w:customStyle="1" w:styleId="TitleChar">
    <w:name w:val="Title Char"/>
    <w:basedOn w:val="DefaultParagraphFont"/>
    <w:link w:val="Title"/>
    <w:uiPriority w:val="99"/>
    <w:locked/>
    <w:rsid w:val="00A27B1D"/>
    <w:rPr>
      <w:rFonts w:ascii="Times New Roman" w:hAnsi="Times New Roman" w:cs="Times New Roman"/>
      <w:b/>
      <w:bCs/>
      <w:sz w:val="24"/>
      <w:szCs w:val="24"/>
      <w:lang w:eastAsia="en-US"/>
    </w:rPr>
  </w:style>
  <w:style w:type="paragraph" w:styleId="NormalWeb">
    <w:name w:val="Normal (Web)"/>
    <w:basedOn w:val="Normal"/>
    <w:uiPriority w:val="99"/>
    <w:rsid w:val="00B05544"/>
    <w:pPr>
      <w:spacing w:before="100" w:beforeAutospacing="1" w:after="100" w:afterAutospacing="1" w:line="240" w:lineRule="auto"/>
    </w:pPr>
    <w:rPr>
      <w:rFonts w:ascii="Times New Roman" w:hAnsi="Times New Roman" w:cs="Times New Roman"/>
      <w:sz w:val="24"/>
      <w:szCs w:val="24"/>
    </w:rPr>
  </w:style>
  <w:style w:type="character" w:customStyle="1" w:styleId="flagicon">
    <w:name w:val="flagicon"/>
    <w:basedOn w:val="DefaultParagraphFont"/>
    <w:uiPriority w:val="99"/>
    <w:rsid w:val="00B05544"/>
  </w:style>
  <w:style w:type="character" w:customStyle="1" w:styleId="longtext">
    <w:name w:val="long_text"/>
    <w:basedOn w:val="DefaultParagraphFont"/>
    <w:uiPriority w:val="99"/>
    <w:rsid w:val="00D402C7"/>
  </w:style>
  <w:style w:type="paragraph" w:customStyle="1" w:styleId="Char">
    <w:name w:val="Char"/>
    <w:basedOn w:val="Normal"/>
    <w:uiPriority w:val="99"/>
    <w:rsid w:val="00937E73"/>
    <w:pPr>
      <w:widowControl w:val="0"/>
      <w:spacing w:after="0" w:line="280" w:lineRule="atLeast"/>
    </w:pPr>
    <w:rPr>
      <w:rFonts w:ascii="Times New Roman" w:eastAsia="MS Mincho" w:hAnsi="Times New Roman" w:cs="Times New Roman"/>
      <w:lang w:val="en-GB" w:eastAsia="en-GB"/>
    </w:rPr>
  </w:style>
  <w:style w:type="character" w:customStyle="1" w:styleId="hps">
    <w:name w:val="hps"/>
    <w:basedOn w:val="DefaultParagraphFont"/>
    <w:uiPriority w:val="99"/>
    <w:rsid w:val="00937E73"/>
  </w:style>
  <w:style w:type="character" w:styleId="Emphasis">
    <w:name w:val="Emphasis"/>
    <w:basedOn w:val="DefaultParagraphFont"/>
    <w:uiPriority w:val="99"/>
    <w:qFormat/>
    <w:locked/>
    <w:rsid w:val="00956872"/>
    <w:rPr>
      <w:i/>
      <w:iCs/>
    </w:rPr>
  </w:style>
  <w:style w:type="character" w:styleId="Strong">
    <w:name w:val="Strong"/>
    <w:basedOn w:val="DefaultParagraphFont"/>
    <w:uiPriority w:val="99"/>
    <w:qFormat/>
    <w:locked/>
    <w:rsid w:val="00C41349"/>
    <w:rPr>
      <w:b/>
      <w:bCs/>
    </w:rPr>
  </w:style>
  <w:style w:type="character" w:customStyle="1" w:styleId="apple-converted-space">
    <w:name w:val="apple-converted-space"/>
    <w:basedOn w:val="DefaultParagraphFont"/>
    <w:uiPriority w:val="99"/>
    <w:rsid w:val="00883A76"/>
  </w:style>
</w:styles>
</file>

<file path=word/webSettings.xml><?xml version="1.0" encoding="utf-8"?>
<w:webSettings xmlns:r="http://schemas.openxmlformats.org/officeDocument/2006/relationships" xmlns:w="http://schemas.openxmlformats.org/wordprocessingml/2006/main">
  <w:divs>
    <w:div w:id="1566800496">
      <w:marLeft w:val="0"/>
      <w:marRight w:val="0"/>
      <w:marTop w:val="0"/>
      <w:marBottom w:val="0"/>
      <w:divBdr>
        <w:top w:val="none" w:sz="0" w:space="0" w:color="auto"/>
        <w:left w:val="none" w:sz="0" w:space="0" w:color="auto"/>
        <w:bottom w:val="none" w:sz="0" w:space="0" w:color="auto"/>
        <w:right w:val="none" w:sz="0" w:space="0" w:color="auto"/>
      </w:divBdr>
    </w:div>
    <w:div w:id="1566800497">
      <w:marLeft w:val="0"/>
      <w:marRight w:val="0"/>
      <w:marTop w:val="0"/>
      <w:marBottom w:val="0"/>
      <w:divBdr>
        <w:top w:val="none" w:sz="0" w:space="0" w:color="auto"/>
        <w:left w:val="none" w:sz="0" w:space="0" w:color="auto"/>
        <w:bottom w:val="none" w:sz="0" w:space="0" w:color="auto"/>
        <w:right w:val="none" w:sz="0" w:space="0" w:color="auto"/>
      </w:divBdr>
    </w:div>
    <w:div w:id="1566800500">
      <w:marLeft w:val="0"/>
      <w:marRight w:val="0"/>
      <w:marTop w:val="0"/>
      <w:marBottom w:val="0"/>
      <w:divBdr>
        <w:top w:val="none" w:sz="0" w:space="0" w:color="auto"/>
        <w:left w:val="none" w:sz="0" w:space="0" w:color="auto"/>
        <w:bottom w:val="none" w:sz="0" w:space="0" w:color="auto"/>
        <w:right w:val="none" w:sz="0" w:space="0" w:color="auto"/>
      </w:divBdr>
    </w:div>
    <w:div w:id="1566800503">
      <w:marLeft w:val="0"/>
      <w:marRight w:val="0"/>
      <w:marTop w:val="0"/>
      <w:marBottom w:val="0"/>
      <w:divBdr>
        <w:top w:val="none" w:sz="0" w:space="0" w:color="auto"/>
        <w:left w:val="none" w:sz="0" w:space="0" w:color="auto"/>
        <w:bottom w:val="none" w:sz="0" w:space="0" w:color="auto"/>
        <w:right w:val="none" w:sz="0" w:space="0" w:color="auto"/>
      </w:divBdr>
    </w:div>
    <w:div w:id="1566800505">
      <w:marLeft w:val="0"/>
      <w:marRight w:val="0"/>
      <w:marTop w:val="0"/>
      <w:marBottom w:val="0"/>
      <w:divBdr>
        <w:top w:val="none" w:sz="0" w:space="0" w:color="auto"/>
        <w:left w:val="none" w:sz="0" w:space="0" w:color="auto"/>
        <w:bottom w:val="none" w:sz="0" w:space="0" w:color="auto"/>
        <w:right w:val="none" w:sz="0" w:space="0" w:color="auto"/>
      </w:divBdr>
    </w:div>
    <w:div w:id="1566800516">
      <w:marLeft w:val="0"/>
      <w:marRight w:val="0"/>
      <w:marTop w:val="0"/>
      <w:marBottom w:val="0"/>
      <w:divBdr>
        <w:top w:val="none" w:sz="0" w:space="0" w:color="auto"/>
        <w:left w:val="none" w:sz="0" w:space="0" w:color="auto"/>
        <w:bottom w:val="none" w:sz="0" w:space="0" w:color="auto"/>
        <w:right w:val="none" w:sz="0" w:space="0" w:color="auto"/>
      </w:divBdr>
    </w:div>
    <w:div w:id="1566800518">
      <w:marLeft w:val="0"/>
      <w:marRight w:val="0"/>
      <w:marTop w:val="0"/>
      <w:marBottom w:val="0"/>
      <w:divBdr>
        <w:top w:val="none" w:sz="0" w:space="0" w:color="auto"/>
        <w:left w:val="none" w:sz="0" w:space="0" w:color="auto"/>
        <w:bottom w:val="none" w:sz="0" w:space="0" w:color="auto"/>
        <w:right w:val="none" w:sz="0" w:space="0" w:color="auto"/>
      </w:divBdr>
    </w:div>
    <w:div w:id="1566800520">
      <w:marLeft w:val="0"/>
      <w:marRight w:val="0"/>
      <w:marTop w:val="0"/>
      <w:marBottom w:val="0"/>
      <w:divBdr>
        <w:top w:val="none" w:sz="0" w:space="0" w:color="auto"/>
        <w:left w:val="none" w:sz="0" w:space="0" w:color="auto"/>
        <w:bottom w:val="none" w:sz="0" w:space="0" w:color="auto"/>
        <w:right w:val="none" w:sz="0" w:space="0" w:color="auto"/>
      </w:divBdr>
      <w:divsChild>
        <w:div w:id="1566800509">
          <w:marLeft w:val="0"/>
          <w:marRight w:val="0"/>
          <w:marTop w:val="0"/>
          <w:marBottom w:val="0"/>
          <w:divBdr>
            <w:top w:val="none" w:sz="0" w:space="0" w:color="auto"/>
            <w:left w:val="none" w:sz="0" w:space="0" w:color="auto"/>
            <w:bottom w:val="none" w:sz="0" w:space="0" w:color="auto"/>
            <w:right w:val="none" w:sz="0" w:space="0" w:color="auto"/>
          </w:divBdr>
          <w:divsChild>
            <w:div w:id="1566800536">
              <w:marLeft w:val="0"/>
              <w:marRight w:val="0"/>
              <w:marTop w:val="0"/>
              <w:marBottom w:val="0"/>
              <w:divBdr>
                <w:top w:val="none" w:sz="0" w:space="0" w:color="auto"/>
                <w:left w:val="none" w:sz="0" w:space="0" w:color="auto"/>
                <w:bottom w:val="none" w:sz="0" w:space="0" w:color="auto"/>
                <w:right w:val="none" w:sz="0" w:space="0" w:color="auto"/>
              </w:divBdr>
              <w:divsChild>
                <w:div w:id="1566800515">
                  <w:marLeft w:val="0"/>
                  <w:marRight w:val="0"/>
                  <w:marTop w:val="0"/>
                  <w:marBottom w:val="0"/>
                  <w:divBdr>
                    <w:top w:val="none" w:sz="0" w:space="0" w:color="auto"/>
                    <w:left w:val="none" w:sz="0" w:space="0" w:color="auto"/>
                    <w:bottom w:val="none" w:sz="0" w:space="0" w:color="auto"/>
                    <w:right w:val="none" w:sz="0" w:space="0" w:color="auto"/>
                  </w:divBdr>
                  <w:divsChild>
                    <w:div w:id="1566800543">
                      <w:marLeft w:val="0"/>
                      <w:marRight w:val="0"/>
                      <w:marTop w:val="0"/>
                      <w:marBottom w:val="0"/>
                      <w:divBdr>
                        <w:top w:val="none" w:sz="0" w:space="0" w:color="auto"/>
                        <w:left w:val="none" w:sz="0" w:space="0" w:color="auto"/>
                        <w:bottom w:val="none" w:sz="0" w:space="0" w:color="auto"/>
                        <w:right w:val="none" w:sz="0" w:space="0" w:color="auto"/>
                      </w:divBdr>
                      <w:divsChild>
                        <w:div w:id="1566800545">
                          <w:marLeft w:val="0"/>
                          <w:marRight w:val="0"/>
                          <w:marTop w:val="0"/>
                          <w:marBottom w:val="0"/>
                          <w:divBdr>
                            <w:top w:val="none" w:sz="0" w:space="0" w:color="auto"/>
                            <w:left w:val="none" w:sz="0" w:space="0" w:color="auto"/>
                            <w:bottom w:val="none" w:sz="0" w:space="0" w:color="auto"/>
                            <w:right w:val="none" w:sz="0" w:space="0" w:color="auto"/>
                          </w:divBdr>
                          <w:divsChild>
                            <w:div w:id="1566800523">
                              <w:marLeft w:val="0"/>
                              <w:marRight w:val="0"/>
                              <w:marTop w:val="0"/>
                              <w:marBottom w:val="0"/>
                              <w:divBdr>
                                <w:top w:val="none" w:sz="0" w:space="0" w:color="auto"/>
                                <w:left w:val="none" w:sz="0" w:space="0" w:color="auto"/>
                                <w:bottom w:val="none" w:sz="0" w:space="0" w:color="auto"/>
                                <w:right w:val="none" w:sz="0" w:space="0" w:color="auto"/>
                              </w:divBdr>
                              <w:divsChild>
                                <w:div w:id="1566800528">
                                  <w:marLeft w:val="0"/>
                                  <w:marRight w:val="0"/>
                                  <w:marTop w:val="0"/>
                                  <w:marBottom w:val="0"/>
                                  <w:divBdr>
                                    <w:top w:val="none" w:sz="0" w:space="0" w:color="auto"/>
                                    <w:left w:val="none" w:sz="0" w:space="0" w:color="auto"/>
                                    <w:bottom w:val="none" w:sz="0" w:space="0" w:color="auto"/>
                                    <w:right w:val="none" w:sz="0" w:space="0" w:color="auto"/>
                                  </w:divBdr>
                                  <w:divsChild>
                                    <w:div w:id="1566800539">
                                      <w:marLeft w:val="60"/>
                                      <w:marRight w:val="0"/>
                                      <w:marTop w:val="0"/>
                                      <w:marBottom w:val="0"/>
                                      <w:divBdr>
                                        <w:top w:val="none" w:sz="0" w:space="0" w:color="auto"/>
                                        <w:left w:val="none" w:sz="0" w:space="0" w:color="auto"/>
                                        <w:bottom w:val="none" w:sz="0" w:space="0" w:color="auto"/>
                                        <w:right w:val="none" w:sz="0" w:space="0" w:color="auto"/>
                                      </w:divBdr>
                                      <w:divsChild>
                                        <w:div w:id="1566800519">
                                          <w:marLeft w:val="0"/>
                                          <w:marRight w:val="0"/>
                                          <w:marTop w:val="0"/>
                                          <w:marBottom w:val="0"/>
                                          <w:divBdr>
                                            <w:top w:val="none" w:sz="0" w:space="0" w:color="auto"/>
                                            <w:left w:val="none" w:sz="0" w:space="0" w:color="auto"/>
                                            <w:bottom w:val="none" w:sz="0" w:space="0" w:color="auto"/>
                                            <w:right w:val="none" w:sz="0" w:space="0" w:color="auto"/>
                                          </w:divBdr>
                                          <w:divsChild>
                                            <w:div w:id="1566800514">
                                              <w:marLeft w:val="0"/>
                                              <w:marRight w:val="0"/>
                                              <w:marTop w:val="0"/>
                                              <w:marBottom w:val="120"/>
                                              <w:divBdr>
                                                <w:top w:val="single" w:sz="6" w:space="0" w:color="F5F5F5"/>
                                                <w:left w:val="single" w:sz="6" w:space="0" w:color="F5F5F5"/>
                                                <w:bottom w:val="single" w:sz="6" w:space="0" w:color="F5F5F5"/>
                                                <w:right w:val="single" w:sz="6" w:space="0" w:color="F5F5F5"/>
                                              </w:divBdr>
                                              <w:divsChild>
                                                <w:div w:id="1566800535">
                                                  <w:marLeft w:val="0"/>
                                                  <w:marRight w:val="0"/>
                                                  <w:marTop w:val="0"/>
                                                  <w:marBottom w:val="0"/>
                                                  <w:divBdr>
                                                    <w:top w:val="none" w:sz="0" w:space="0" w:color="auto"/>
                                                    <w:left w:val="none" w:sz="0" w:space="0" w:color="auto"/>
                                                    <w:bottom w:val="none" w:sz="0" w:space="0" w:color="auto"/>
                                                    <w:right w:val="none" w:sz="0" w:space="0" w:color="auto"/>
                                                  </w:divBdr>
                                                  <w:divsChild>
                                                    <w:div w:id="156680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800521">
      <w:marLeft w:val="0"/>
      <w:marRight w:val="0"/>
      <w:marTop w:val="0"/>
      <w:marBottom w:val="0"/>
      <w:divBdr>
        <w:top w:val="none" w:sz="0" w:space="0" w:color="auto"/>
        <w:left w:val="none" w:sz="0" w:space="0" w:color="auto"/>
        <w:bottom w:val="none" w:sz="0" w:space="0" w:color="auto"/>
        <w:right w:val="none" w:sz="0" w:space="0" w:color="auto"/>
      </w:divBdr>
    </w:div>
    <w:div w:id="1566800522">
      <w:marLeft w:val="0"/>
      <w:marRight w:val="0"/>
      <w:marTop w:val="0"/>
      <w:marBottom w:val="0"/>
      <w:divBdr>
        <w:top w:val="none" w:sz="0" w:space="0" w:color="auto"/>
        <w:left w:val="none" w:sz="0" w:space="0" w:color="auto"/>
        <w:bottom w:val="none" w:sz="0" w:space="0" w:color="auto"/>
        <w:right w:val="none" w:sz="0" w:space="0" w:color="auto"/>
      </w:divBdr>
      <w:divsChild>
        <w:div w:id="1566800546">
          <w:marLeft w:val="0"/>
          <w:marRight w:val="0"/>
          <w:marTop w:val="0"/>
          <w:marBottom w:val="0"/>
          <w:divBdr>
            <w:top w:val="none" w:sz="0" w:space="0" w:color="auto"/>
            <w:left w:val="none" w:sz="0" w:space="0" w:color="auto"/>
            <w:bottom w:val="none" w:sz="0" w:space="0" w:color="auto"/>
            <w:right w:val="none" w:sz="0" w:space="0" w:color="auto"/>
          </w:divBdr>
          <w:divsChild>
            <w:div w:id="1566800529">
              <w:marLeft w:val="0"/>
              <w:marRight w:val="0"/>
              <w:marTop w:val="0"/>
              <w:marBottom w:val="0"/>
              <w:divBdr>
                <w:top w:val="none" w:sz="0" w:space="0" w:color="auto"/>
                <w:left w:val="none" w:sz="0" w:space="0" w:color="auto"/>
                <w:bottom w:val="none" w:sz="0" w:space="0" w:color="auto"/>
                <w:right w:val="none" w:sz="0" w:space="0" w:color="auto"/>
              </w:divBdr>
              <w:divsChild>
                <w:div w:id="1566800510">
                  <w:marLeft w:val="0"/>
                  <w:marRight w:val="0"/>
                  <w:marTop w:val="0"/>
                  <w:marBottom w:val="0"/>
                  <w:divBdr>
                    <w:top w:val="none" w:sz="0" w:space="0" w:color="auto"/>
                    <w:left w:val="none" w:sz="0" w:space="0" w:color="auto"/>
                    <w:bottom w:val="none" w:sz="0" w:space="0" w:color="auto"/>
                    <w:right w:val="none" w:sz="0" w:space="0" w:color="auto"/>
                  </w:divBdr>
                  <w:divsChild>
                    <w:div w:id="1566800507">
                      <w:marLeft w:val="0"/>
                      <w:marRight w:val="0"/>
                      <w:marTop w:val="0"/>
                      <w:marBottom w:val="0"/>
                      <w:divBdr>
                        <w:top w:val="none" w:sz="0" w:space="0" w:color="auto"/>
                        <w:left w:val="none" w:sz="0" w:space="0" w:color="auto"/>
                        <w:bottom w:val="none" w:sz="0" w:space="0" w:color="auto"/>
                        <w:right w:val="none" w:sz="0" w:space="0" w:color="auto"/>
                      </w:divBdr>
                      <w:divsChild>
                        <w:div w:id="1566800526">
                          <w:marLeft w:val="0"/>
                          <w:marRight w:val="0"/>
                          <w:marTop w:val="0"/>
                          <w:marBottom w:val="0"/>
                          <w:divBdr>
                            <w:top w:val="none" w:sz="0" w:space="0" w:color="auto"/>
                            <w:left w:val="none" w:sz="0" w:space="0" w:color="auto"/>
                            <w:bottom w:val="none" w:sz="0" w:space="0" w:color="auto"/>
                            <w:right w:val="none" w:sz="0" w:space="0" w:color="auto"/>
                          </w:divBdr>
                          <w:divsChild>
                            <w:div w:id="1566800534">
                              <w:marLeft w:val="0"/>
                              <w:marRight w:val="0"/>
                              <w:marTop w:val="0"/>
                              <w:marBottom w:val="0"/>
                              <w:divBdr>
                                <w:top w:val="none" w:sz="0" w:space="0" w:color="auto"/>
                                <w:left w:val="none" w:sz="0" w:space="0" w:color="auto"/>
                                <w:bottom w:val="none" w:sz="0" w:space="0" w:color="auto"/>
                                <w:right w:val="none" w:sz="0" w:space="0" w:color="auto"/>
                              </w:divBdr>
                              <w:divsChild>
                                <w:div w:id="1566800501">
                                  <w:marLeft w:val="0"/>
                                  <w:marRight w:val="0"/>
                                  <w:marTop w:val="0"/>
                                  <w:marBottom w:val="0"/>
                                  <w:divBdr>
                                    <w:top w:val="none" w:sz="0" w:space="0" w:color="auto"/>
                                    <w:left w:val="none" w:sz="0" w:space="0" w:color="auto"/>
                                    <w:bottom w:val="none" w:sz="0" w:space="0" w:color="auto"/>
                                    <w:right w:val="none" w:sz="0" w:space="0" w:color="auto"/>
                                  </w:divBdr>
                                  <w:divsChild>
                                    <w:div w:id="1566800506">
                                      <w:marLeft w:val="60"/>
                                      <w:marRight w:val="0"/>
                                      <w:marTop w:val="0"/>
                                      <w:marBottom w:val="0"/>
                                      <w:divBdr>
                                        <w:top w:val="none" w:sz="0" w:space="0" w:color="auto"/>
                                        <w:left w:val="none" w:sz="0" w:space="0" w:color="auto"/>
                                        <w:bottom w:val="none" w:sz="0" w:space="0" w:color="auto"/>
                                        <w:right w:val="none" w:sz="0" w:space="0" w:color="auto"/>
                                      </w:divBdr>
                                      <w:divsChild>
                                        <w:div w:id="1566800541">
                                          <w:marLeft w:val="0"/>
                                          <w:marRight w:val="0"/>
                                          <w:marTop w:val="0"/>
                                          <w:marBottom w:val="0"/>
                                          <w:divBdr>
                                            <w:top w:val="none" w:sz="0" w:space="0" w:color="auto"/>
                                            <w:left w:val="none" w:sz="0" w:space="0" w:color="auto"/>
                                            <w:bottom w:val="none" w:sz="0" w:space="0" w:color="auto"/>
                                            <w:right w:val="none" w:sz="0" w:space="0" w:color="auto"/>
                                          </w:divBdr>
                                          <w:divsChild>
                                            <w:div w:id="1566800508">
                                              <w:marLeft w:val="0"/>
                                              <w:marRight w:val="0"/>
                                              <w:marTop w:val="0"/>
                                              <w:marBottom w:val="120"/>
                                              <w:divBdr>
                                                <w:top w:val="single" w:sz="6" w:space="0" w:color="F5F5F5"/>
                                                <w:left w:val="single" w:sz="6" w:space="0" w:color="F5F5F5"/>
                                                <w:bottom w:val="single" w:sz="6" w:space="0" w:color="F5F5F5"/>
                                                <w:right w:val="single" w:sz="6" w:space="0" w:color="F5F5F5"/>
                                              </w:divBdr>
                                              <w:divsChild>
                                                <w:div w:id="1566800513">
                                                  <w:marLeft w:val="0"/>
                                                  <w:marRight w:val="0"/>
                                                  <w:marTop w:val="0"/>
                                                  <w:marBottom w:val="0"/>
                                                  <w:divBdr>
                                                    <w:top w:val="none" w:sz="0" w:space="0" w:color="auto"/>
                                                    <w:left w:val="none" w:sz="0" w:space="0" w:color="auto"/>
                                                    <w:bottom w:val="none" w:sz="0" w:space="0" w:color="auto"/>
                                                    <w:right w:val="none" w:sz="0" w:space="0" w:color="auto"/>
                                                  </w:divBdr>
                                                  <w:divsChild>
                                                    <w:div w:id="156680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800525">
      <w:marLeft w:val="0"/>
      <w:marRight w:val="0"/>
      <w:marTop w:val="0"/>
      <w:marBottom w:val="0"/>
      <w:divBdr>
        <w:top w:val="none" w:sz="0" w:space="0" w:color="auto"/>
        <w:left w:val="none" w:sz="0" w:space="0" w:color="auto"/>
        <w:bottom w:val="none" w:sz="0" w:space="0" w:color="auto"/>
        <w:right w:val="none" w:sz="0" w:space="0" w:color="auto"/>
      </w:divBdr>
    </w:div>
    <w:div w:id="1566800530">
      <w:marLeft w:val="0"/>
      <w:marRight w:val="0"/>
      <w:marTop w:val="0"/>
      <w:marBottom w:val="0"/>
      <w:divBdr>
        <w:top w:val="none" w:sz="0" w:space="0" w:color="auto"/>
        <w:left w:val="none" w:sz="0" w:space="0" w:color="auto"/>
        <w:bottom w:val="none" w:sz="0" w:space="0" w:color="auto"/>
        <w:right w:val="none" w:sz="0" w:space="0" w:color="auto"/>
      </w:divBdr>
    </w:div>
    <w:div w:id="1566800532">
      <w:marLeft w:val="0"/>
      <w:marRight w:val="0"/>
      <w:marTop w:val="0"/>
      <w:marBottom w:val="0"/>
      <w:divBdr>
        <w:top w:val="none" w:sz="0" w:space="0" w:color="auto"/>
        <w:left w:val="none" w:sz="0" w:space="0" w:color="auto"/>
        <w:bottom w:val="none" w:sz="0" w:space="0" w:color="auto"/>
        <w:right w:val="none" w:sz="0" w:space="0" w:color="auto"/>
      </w:divBdr>
    </w:div>
    <w:div w:id="1566800533">
      <w:marLeft w:val="0"/>
      <w:marRight w:val="0"/>
      <w:marTop w:val="0"/>
      <w:marBottom w:val="0"/>
      <w:divBdr>
        <w:top w:val="none" w:sz="0" w:space="0" w:color="auto"/>
        <w:left w:val="none" w:sz="0" w:space="0" w:color="auto"/>
        <w:bottom w:val="none" w:sz="0" w:space="0" w:color="auto"/>
        <w:right w:val="none" w:sz="0" w:space="0" w:color="auto"/>
      </w:divBdr>
    </w:div>
    <w:div w:id="1566800537">
      <w:marLeft w:val="0"/>
      <w:marRight w:val="0"/>
      <w:marTop w:val="0"/>
      <w:marBottom w:val="0"/>
      <w:divBdr>
        <w:top w:val="none" w:sz="0" w:space="0" w:color="auto"/>
        <w:left w:val="none" w:sz="0" w:space="0" w:color="auto"/>
        <w:bottom w:val="none" w:sz="0" w:space="0" w:color="auto"/>
        <w:right w:val="none" w:sz="0" w:space="0" w:color="auto"/>
      </w:divBdr>
    </w:div>
    <w:div w:id="1566800538">
      <w:marLeft w:val="0"/>
      <w:marRight w:val="0"/>
      <w:marTop w:val="0"/>
      <w:marBottom w:val="0"/>
      <w:divBdr>
        <w:top w:val="none" w:sz="0" w:space="0" w:color="auto"/>
        <w:left w:val="none" w:sz="0" w:space="0" w:color="auto"/>
        <w:bottom w:val="none" w:sz="0" w:space="0" w:color="auto"/>
        <w:right w:val="none" w:sz="0" w:space="0" w:color="auto"/>
      </w:divBdr>
    </w:div>
    <w:div w:id="1566800540">
      <w:marLeft w:val="0"/>
      <w:marRight w:val="0"/>
      <w:marTop w:val="0"/>
      <w:marBottom w:val="0"/>
      <w:divBdr>
        <w:top w:val="none" w:sz="0" w:space="0" w:color="auto"/>
        <w:left w:val="none" w:sz="0" w:space="0" w:color="auto"/>
        <w:bottom w:val="none" w:sz="0" w:space="0" w:color="auto"/>
        <w:right w:val="none" w:sz="0" w:space="0" w:color="auto"/>
      </w:divBdr>
    </w:div>
    <w:div w:id="1566800542">
      <w:marLeft w:val="0"/>
      <w:marRight w:val="0"/>
      <w:marTop w:val="0"/>
      <w:marBottom w:val="0"/>
      <w:divBdr>
        <w:top w:val="none" w:sz="0" w:space="0" w:color="auto"/>
        <w:left w:val="none" w:sz="0" w:space="0" w:color="auto"/>
        <w:bottom w:val="none" w:sz="0" w:space="0" w:color="auto"/>
        <w:right w:val="none" w:sz="0" w:space="0" w:color="auto"/>
      </w:divBdr>
      <w:divsChild>
        <w:div w:id="1566800524">
          <w:marLeft w:val="0"/>
          <w:marRight w:val="0"/>
          <w:marTop w:val="0"/>
          <w:marBottom w:val="0"/>
          <w:divBdr>
            <w:top w:val="none" w:sz="0" w:space="0" w:color="auto"/>
            <w:left w:val="none" w:sz="0" w:space="0" w:color="auto"/>
            <w:bottom w:val="none" w:sz="0" w:space="0" w:color="auto"/>
            <w:right w:val="none" w:sz="0" w:space="0" w:color="auto"/>
          </w:divBdr>
          <w:divsChild>
            <w:div w:id="1566800550">
              <w:marLeft w:val="0"/>
              <w:marRight w:val="0"/>
              <w:marTop w:val="0"/>
              <w:marBottom w:val="0"/>
              <w:divBdr>
                <w:top w:val="none" w:sz="0" w:space="0" w:color="auto"/>
                <w:left w:val="none" w:sz="0" w:space="0" w:color="auto"/>
                <w:bottom w:val="none" w:sz="0" w:space="0" w:color="auto"/>
                <w:right w:val="none" w:sz="0" w:space="0" w:color="auto"/>
              </w:divBdr>
              <w:divsChild>
                <w:div w:id="1566800544">
                  <w:marLeft w:val="0"/>
                  <w:marRight w:val="0"/>
                  <w:marTop w:val="0"/>
                  <w:marBottom w:val="0"/>
                  <w:divBdr>
                    <w:top w:val="none" w:sz="0" w:space="0" w:color="auto"/>
                    <w:left w:val="none" w:sz="0" w:space="0" w:color="auto"/>
                    <w:bottom w:val="none" w:sz="0" w:space="0" w:color="auto"/>
                    <w:right w:val="none" w:sz="0" w:space="0" w:color="auto"/>
                  </w:divBdr>
                  <w:divsChild>
                    <w:div w:id="1566800512">
                      <w:marLeft w:val="0"/>
                      <w:marRight w:val="0"/>
                      <w:marTop w:val="0"/>
                      <w:marBottom w:val="0"/>
                      <w:divBdr>
                        <w:top w:val="none" w:sz="0" w:space="0" w:color="auto"/>
                        <w:left w:val="none" w:sz="0" w:space="0" w:color="auto"/>
                        <w:bottom w:val="none" w:sz="0" w:space="0" w:color="auto"/>
                        <w:right w:val="none" w:sz="0" w:space="0" w:color="auto"/>
                      </w:divBdr>
                      <w:divsChild>
                        <w:div w:id="1566800502">
                          <w:marLeft w:val="0"/>
                          <w:marRight w:val="0"/>
                          <w:marTop w:val="0"/>
                          <w:marBottom w:val="0"/>
                          <w:divBdr>
                            <w:top w:val="none" w:sz="0" w:space="0" w:color="auto"/>
                            <w:left w:val="none" w:sz="0" w:space="0" w:color="auto"/>
                            <w:bottom w:val="none" w:sz="0" w:space="0" w:color="auto"/>
                            <w:right w:val="none" w:sz="0" w:space="0" w:color="auto"/>
                          </w:divBdr>
                          <w:divsChild>
                            <w:div w:id="1566800517">
                              <w:marLeft w:val="0"/>
                              <w:marRight w:val="0"/>
                              <w:marTop w:val="0"/>
                              <w:marBottom w:val="0"/>
                              <w:divBdr>
                                <w:top w:val="none" w:sz="0" w:space="0" w:color="auto"/>
                                <w:left w:val="none" w:sz="0" w:space="0" w:color="auto"/>
                                <w:bottom w:val="none" w:sz="0" w:space="0" w:color="auto"/>
                                <w:right w:val="none" w:sz="0" w:space="0" w:color="auto"/>
                              </w:divBdr>
                              <w:divsChild>
                                <w:div w:id="1566800495">
                                  <w:marLeft w:val="0"/>
                                  <w:marRight w:val="0"/>
                                  <w:marTop w:val="0"/>
                                  <w:marBottom w:val="0"/>
                                  <w:divBdr>
                                    <w:top w:val="none" w:sz="0" w:space="0" w:color="auto"/>
                                    <w:left w:val="none" w:sz="0" w:space="0" w:color="auto"/>
                                    <w:bottom w:val="none" w:sz="0" w:space="0" w:color="auto"/>
                                    <w:right w:val="none" w:sz="0" w:space="0" w:color="auto"/>
                                  </w:divBdr>
                                  <w:divsChild>
                                    <w:div w:id="1566800531">
                                      <w:marLeft w:val="60"/>
                                      <w:marRight w:val="0"/>
                                      <w:marTop w:val="0"/>
                                      <w:marBottom w:val="0"/>
                                      <w:divBdr>
                                        <w:top w:val="none" w:sz="0" w:space="0" w:color="auto"/>
                                        <w:left w:val="none" w:sz="0" w:space="0" w:color="auto"/>
                                        <w:bottom w:val="none" w:sz="0" w:space="0" w:color="auto"/>
                                        <w:right w:val="none" w:sz="0" w:space="0" w:color="auto"/>
                                      </w:divBdr>
                                      <w:divsChild>
                                        <w:div w:id="1566800504">
                                          <w:marLeft w:val="0"/>
                                          <w:marRight w:val="0"/>
                                          <w:marTop w:val="0"/>
                                          <w:marBottom w:val="0"/>
                                          <w:divBdr>
                                            <w:top w:val="none" w:sz="0" w:space="0" w:color="auto"/>
                                            <w:left w:val="none" w:sz="0" w:space="0" w:color="auto"/>
                                            <w:bottom w:val="none" w:sz="0" w:space="0" w:color="auto"/>
                                            <w:right w:val="none" w:sz="0" w:space="0" w:color="auto"/>
                                          </w:divBdr>
                                          <w:divsChild>
                                            <w:div w:id="1566800547">
                                              <w:marLeft w:val="0"/>
                                              <w:marRight w:val="0"/>
                                              <w:marTop w:val="0"/>
                                              <w:marBottom w:val="120"/>
                                              <w:divBdr>
                                                <w:top w:val="single" w:sz="6" w:space="0" w:color="F5F5F5"/>
                                                <w:left w:val="single" w:sz="6" w:space="0" w:color="F5F5F5"/>
                                                <w:bottom w:val="single" w:sz="6" w:space="0" w:color="F5F5F5"/>
                                                <w:right w:val="single" w:sz="6" w:space="0" w:color="F5F5F5"/>
                                              </w:divBdr>
                                              <w:divsChild>
                                                <w:div w:id="1566800498">
                                                  <w:marLeft w:val="0"/>
                                                  <w:marRight w:val="0"/>
                                                  <w:marTop w:val="0"/>
                                                  <w:marBottom w:val="0"/>
                                                  <w:divBdr>
                                                    <w:top w:val="none" w:sz="0" w:space="0" w:color="auto"/>
                                                    <w:left w:val="none" w:sz="0" w:space="0" w:color="auto"/>
                                                    <w:bottom w:val="none" w:sz="0" w:space="0" w:color="auto"/>
                                                    <w:right w:val="none" w:sz="0" w:space="0" w:color="auto"/>
                                                  </w:divBdr>
                                                  <w:divsChild>
                                                    <w:div w:id="15668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800548">
      <w:marLeft w:val="0"/>
      <w:marRight w:val="0"/>
      <w:marTop w:val="0"/>
      <w:marBottom w:val="0"/>
      <w:divBdr>
        <w:top w:val="none" w:sz="0" w:space="0" w:color="auto"/>
        <w:left w:val="none" w:sz="0" w:space="0" w:color="auto"/>
        <w:bottom w:val="none" w:sz="0" w:space="0" w:color="auto"/>
        <w:right w:val="none" w:sz="0" w:space="0" w:color="auto"/>
      </w:divBdr>
    </w:div>
    <w:div w:id="1566800549">
      <w:marLeft w:val="0"/>
      <w:marRight w:val="0"/>
      <w:marTop w:val="0"/>
      <w:marBottom w:val="0"/>
      <w:divBdr>
        <w:top w:val="none" w:sz="0" w:space="0" w:color="auto"/>
        <w:left w:val="none" w:sz="0" w:space="0" w:color="auto"/>
        <w:bottom w:val="none" w:sz="0" w:space="0" w:color="auto"/>
        <w:right w:val="none" w:sz="0" w:space="0" w:color="auto"/>
      </w:divBdr>
    </w:div>
    <w:div w:id="15668005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hyperlink" Target="http://ideas.repec.org/s/bac/fsecub.html" TargetMode="External"/><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emf"/><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hyperlink" Target="https://www.statista.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emf"/><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hyperlink" Target="http://epp.eurostat.ec.europa.eu" TargetMode="External"/><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usinessrevieweurope.eu/authors/102/Tom-Wadlow" TargetMode="External"/><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hyperlink" Target="http://sceco.ub.ro/index.php/SCECO/issue/view/1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259</TotalTime>
  <Pages>8</Pages>
  <Words>2219</Words>
  <Characters>12652</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rânduri libere, 11p)</dc:title>
  <dc:subject/>
  <dc:creator>pc</dc:creator>
  <cp:keywords/>
  <dc:description/>
  <cp:lastModifiedBy>Home</cp:lastModifiedBy>
  <cp:revision>28</cp:revision>
  <cp:lastPrinted>2017-05-25T12:07:00Z</cp:lastPrinted>
  <dcterms:created xsi:type="dcterms:W3CDTF">2017-06-15T07:14:00Z</dcterms:created>
  <dcterms:modified xsi:type="dcterms:W3CDTF">2017-07-15T06:56:00Z</dcterms:modified>
</cp:coreProperties>
</file>