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991" w:rsidRPr="00E411D5" w:rsidRDefault="00AC4991" w:rsidP="00A15675">
      <w:pPr>
        <w:spacing w:after="0" w:line="240" w:lineRule="auto"/>
        <w:jc w:val="center"/>
        <w:rPr>
          <w:rFonts w:ascii="Times New Roman" w:hAnsi="Times New Roman" w:cs="Times New Roman"/>
          <w:b/>
          <w:bCs/>
        </w:rPr>
      </w:pPr>
    </w:p>
    <w:p w:rsidR="00AC4991" w:rsidRPr="00245328" w:rsidRDefault="00AC4991" w:rsidP="00245328">
      <w:pPr>
        <w:shd w:val="clear" w:color="auto" w:fill="FFFFFF"/>
        <w:spacing w:after="0" w:line="240" w:lineRule="auto"/>
        <w:jc w:val="center"/>
        <w:rPr>
          <w:rFonts w:ascii="Times New Roman" w:hAnsi="Times New Roman" w:cs="Times New Roman"/>
          <w:b/>
          <w:bCs/>
          <w:color w:val="000000"/>
          <w:sz w:val="24"/>
          <w:szCs w:val="24"/>
        </w:rPr>
      </w:pPr>
      <w:r w:rsidRPr="00245328">
        <w:rPr>
          <w:rFonts w:ascii="Times New Roman" w:hAnsi="Times New Roman" w:cs="Times New Roman"/>
          <w:b/>
          <w:bCs/>
          <w:color w:val="000000"/>
          <w:sz w:val="24"/>
          <w:szCs w:val="24"/>
        </w:rPr>
        <w:t>RECENT EVOLUTION OF MARKET</w:t>
      </w:r>
      <w:r>
        <w:rPr>
          <w:rFonts w:ascii="Times New Roman" w:hAnsi="Times New Roman" w:cs="Times New Roman"/>
          <w:b/>
          <w:bCs/>
          <w:color w:val="000000"/>
          <w:sz w:val="24"/>
          <w:szCs w:val="24"/>
        </w:rPr>
        <w:t xml:space="preserve"> </w:t>
      </w:r>
      <w:r w:rsidRPr="00245328">
        <w:rPr>
          <w:rFonts w:ascii="Times New Roman" w:hAnsi="Times New Roman" w:cs="Times New Roman"/>
          <w:b/>
          <w:bCs/>
          <w:color w:val="000000"/>
          <w:sz w:val="24"/>
          <w:szCs w:val="24"/>
        </w:rPr>
        <w:t>RESEARCH AND PUBLIC OPI</w:t>
      </w:r>
      <w:r>
        <w:rPr>
          <w:rFonts w:ascii="Times New Roman" w:hAnsi="Times New Roman" w:cs="Times New Roman"/>
          <w:b/>
          <w:bCs/>
          <w:color w:val="000000"/>
          <w:sz w:val="24"/>
          <w:szCs w:val="24"/>
        </w:rPr>
        <w:t xml:space="preserve">NION POLLING BUSINESS IN THE EU </w:t>
      </w:r>
      <w:r w:rsidRPr="00245328">
        <w:rPr>
          <w:rFonts w:ascii="Times New Roman" w:hAnsi="Times New Roman" w:cs="Times New Roman"/>
          <w:b/>
          <w:bCs/>
          <w:color w:val="000000"/>
          <w:sz w:val="24"/>
          <w:szCs w:val="24"/>
        </w:rPr>
        <w:t>COUNTRIES</w:t>
      </w:r>
    </w:p>
    <w:p w:rsidR="00AC4991" w:rsidRPr="00E411D5" w:rsidRDefault="00AC4991" w:rsidP="00C50AA1">
      <w:pPr>
        <w:spacing w:after="0" w:line="240" w:lineRule="auto"/>
        <w:jc w:val="center"/>
        <w:rPr>
          <w:rFonts w:ascii="Times New Roman" w:hAnsi="Times New Roman" w:cs="Times New Roman"/>
          <w:color w:val="0000FF"/>
        </w:rPr>
      </w:pPr>
    </w:p>
    <w:p w:rsidR="00AC4991" w:rsidRDefault="00AC4991" w:rsidP="00C50A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Laura Cătălina Ţimiraş</w:t>
      </w:r>
    </w:p>
    <w:p w:rsidR="00AC4991" w:rsidRDefault="00AC4991" w:rsidP="00C50AA1">
      <w:pPr>
        <w:spacing w:after="0" w:line="240" w:lineRule="auto"/>
        <w:jc w:val="center"/>
        <w:rPr>
          <w:rFonts w:ascii="Times New Roman" w:hAnsi="Times New Roman" w:cs="Times New Roman"/>
          <w:sz w:val="20"/>
          <w:szCs w:val="20"/>
        </w:rPr>
      </w:pPr>
      <w:r w:rsidRPr="00E411D5">
        <w:rPr>
          <w:rFonts w:ascii="Times New Roman" w:hAnsi="Times New Roman" w:cs="Times New Roman"/>
          <w:sz w:val="20"/>
          <w:szCs w:val="20"/>
        </w:rPr>
        <w:t>Universit</w:t>
      </w:r>
      <w:r>
        <w:rPr>
          <w:rFonts w:ascii="Times New Roman" w:hAnsi="Times New Roman" w:cs="Times New Roman"/>
          <w:sz w:val="20"/>
          <w:szCs w:val="20"/>
        </w:rPr>
        <w:t>y “Vasile Alecsandri” of Bacau</w:t>
      </w:r>
    </w:p>
    <w:p w:rsidR="00AC4991" w:rsidRPr="00E411D5" w:rsidRDefault="00AC4991" w:rsidP="00C50AA1">
      <w:pPr>
        <w:spacing w:after="0" w:line="240" w:lineRule="auto"/>
        <w:jc w:val="center"/>
        <w:rPr>
          <w:rFonts w:ascii="Times New Roman" w:hAnsi="Times New Roman" w:cs="Times New Roman"/>
          <w:sz w:val="20"/>
          <w:szCs w:val="20"/>
        </w:rPr>
      </w:pPr>
      <w:r w:rsidRPr="00E411D5">
        <w:rPr>
          <w:rFonts w:ascii="Times New Roman" w:hAnsi="Times New Roman" w:cs="Times New Roman"/>
          <w:sz w:val="20"/>
          <w:szCs w:val="20"/>
        </w:rPr>
        <w:t xml:space="preserve">timiras.laura@ub.ro </w:t>
      </w:r>
    </w:p>
    <w:p w:rsidR="00AC4991" w:rsidRPr="00E411D5" w:rsidRDefault="00AC4991" w:rsidP="00C50AA1">
      <w:pPr>
        <w:spacing w:after="0" w:line="240" w:lineRule="auto"/>
        <w:jc w:val="center"/>
        <w:rPr>
          <w:rFonts w:ascii="Times New Roman" w:hAnsi="Times New Roman" w:cs="Times New Roman"/>
        </w:rPr>
      </w:pPr>
    </w:p>
    <w:p w:rsidR="00AC4991" w:rsidRPr="00E411D5" w:rsidRDefault="00AC4991" w:rsidP="00C50AA1">
      <w:pPr>
        <w:spacing w:after="0" w:line="240" w:lineRule="auto"/>
        <w:rPr>
          <w:rFonts w:ascii="Times New Roman" w:hAnsi="Times New Roman" w:cs="Times New Roman"/>
        </w:rPr>
      </w:pPr>
    </w:p>
    <w:p w:rsidR="00AC4991" w:rsidRPr="009732B9" w:rsidRDefault="00AC4991" w:rsidP="00A15675">
      <w:pPr>
        <w:spacing w:after="0" w:line="240" w:lineRule="auto"/>
        <w:rPr>
          <w:rFonts w:ascii="Times New Roman" w:hAnsi="Times New Roman" w:cs="Times New Roman"/>
          <w:b/>
          <w:bCs/>
          <w:sz w:val="20"/>
          <w:szCs w:val="20"/>
        </w:rPr>
      </w:pPr>
      <w:r w:rsidRPr="009732B9">
        <w:rPr>
          <w:rFonts w:ascii="Times New Roman" w:hAnsi="Times New Roman" w:cs="Times New Roman"/>
          <w:b/>
          <w:bCs/>
          <w:sz w:val="20"/>
          <w:szCs w:val="20"/>
        </w:rPr>
        <w:t>Abstract</w:t>
      </w:r>
    </w:p>
    <w:p w:rsidR="00AC4991" w:rsidRPr="00B27E04" w:rsidRDefault="00AC4991" w:rsidP="00746308">
      <w:pPr>
        <w:spacing w:after="0" w:line="240" w:lineRule="auto"/>
        <w:jc w:val="both"/>
        <w:rPr>
          <w:rFonts w:ascii="Times New Roman" w:hAnsi="Times New Roman" w:cs="Times New Roman"/>
          <w:i/>
          <w:iCs/>
          <w:sz w:val="18"/>
          <w:szCs w:val="18"/>
        </w:rPr>
      </w:pPr>
      <w:r w:rsidRPr="00E411D5">
        <w:rPr>
          <w:rFonts w:ascii="Times New Roman" w:hAnsi="Times New Roman" w:cs="Times New Roman"/>
          <w:i/>
          <w:iCs/>
          <w:sz w:val="18"/>
          <w:szCs w:val="18"/>
        </w:rPr>
        <w:t>The purpose of this paper is to highlight the evolution of the market research and public opinion polling business in the EU countries in recent years (after 2010).</w:t>
      </w:r>
      <w:r>
        <w:rPr>
          <w:rFonts w:ascii="Times New Roman" w:hAnsi="Times New Roman" w:cs="Times New Roman"/>
          <w:i/>
          <w:iCs/>
          <w:sz w:val="18"/>
          <w:szCs w:val="18"/>
        </w:rPr>
        <w:t xml:space="preserve"> </w:t>
      </w:r>
      <w:r w:rsidRPr="00E411D5">
        <w:rPr>
          <w:rFonts w:ascii="Times New Roman" w:hAnsi="Times New Roman" w:cs="Times New Roman"/>
          <w:i/>
          <w:iCs/>
          <w:sz w:val="18"/>
          <w:szCs w:val="18"/>
        </w:rPr>
        <w:t xml:space="preserve">Using the Turnover or </w:t>
      </w:r>
      <w:r>
        <w:rPr>
          <w:rFonts w:ascii="Times New Roman" w:hAnsi="Times New Roman" w:cs="Times New Roman"/>
          <w:i/>
          <w:iCs/>
          <w:sz w:val="18"/>
          <w:szCs w:val="18"/>
        </w:rPr>
        <w:t>g</w:t>
      </w:r>
      <w:r w:rsidRPr="00E411D5">
        <w:rPr>
          <w:rFonts w:ascii="Times New Roman" w:hAnsi="Times New Roman" w:cs="Times New Roman"/>
          <w:i/>
          <w:iCs/>
          <w:sz w:val="18"/>
          <w:szCs w:val="18"/>
        </w:rPr>
        <w:t>ross premiums written indicator, it was found that the analyzed business experienced an upward trend over the period 2010-2015, but not for all EU countries, some of them experiencing decreasing of the indicator. At the same time</w:t>
      </w:r>
      <w:r>
        <w:rPr>
          <w:rFonts w:ascii="Times New Roman" w:hAnsi="Times New Roman" w:cs="Times New Roman"/>
          <w:i/>
          <w:iCs/>
          <w:sz w:val="18"/>
          <w:szCs w:val="18"/>
        </w:rPr>
        <w:t xml:space="preserve">, </w:t>
      </w:r>
      <w:r w:rsidRPr="00E411D5">
        <w:rPr>
          <w:rFonts w:ascii="Times New Roman" w:hAnsi="Times New Roman" w:cs="Times New Roman"/>
          <w:i/>
          <w:iCs/>
          <w:sz w:val="18"/>
          <w:szCs w:val="18"/>
        </w:rPr>
        <w:t xml:space="preserve">parallel with the increase of the Turnover or </w:t>
      </w:r>
      <w:r>
        <w:rPr>
          <w:rFonts w:ascii="Times New Roman" w:hAnsi="Times New Roman" w:cs="Times New Roman"/>
          <w:i/>
          <w:iCs/>
          <w:sz w:val="18"/>
          <w:szCs w:val="18"/>
        </w:rPr>
        <w:t>g</w:t>
      </w:r>
      <w:r w:rsidRPr="00E411D5">
        <w:rPr>
          <w:rFonts w:ascii="Times New Roman" w:hAnsi="Times New Roman" w:cs="Times New Roman"/>
          <w:i/>
          <w:iCs/>
          <w:sz w:val="18"/>
          <w:szCs w:val="18"/>
        </w:rPr>
        <w:t xml:space="preserve">ross premiums written at the level of the </w:t>
      </w:r>
      <w:r>
        <w:rPr>
          <w:rFonts w:ascii="Times New Roman" w:hAnsi="Times New Roman" w:cs="Times New Roman"/>
          <w:i/>
          <w:iCs/>
          <w:sz w:val="18"/>
          <w:szCs w:val="18"/>
        </w:rPr>
        <w:t>EU</w:t>
      </w:r>
      <w:r w:rsidRPr="00E411D5">
        <w:rPr>
          <w:rFonts w:ascii="Times New Roman" w:hAnsi="Times New Roman" w:cs="Times New Roman"/>
          <w:i/>
          <w:iCs/>
          <w:sz w:val="18"/>
          <w:szCs w:val="18"/>
        </w:rPr>
        <w:t xml:space="preserve">, there was a slight decrease of the </w:t>
      </w:r>
      <w:r>
        <w:rPr>
          <w:rFonts w:ascii="Times New Roman" w:hAnsi="Times New Roman" w:cs="Times New Roman"/>
          <w:i/>
          <w:iCs/>
          <w:sz w:val="18"/>
          <w:szCs w:val="18"/>
        </w:rPr>
        <w:t>n</w:t>
      </w:r>
      <w:r w:rsidRPr="00E411D5">
        <w:rPr>
          <w:rFonts w:ascii="Times New Roman" w:hAnsi="Times New Roman" w:cs="Times New Roman"/>
          <w:i/>
          <w:iCs/>
          <w:sz w:val="18"/>
          <w:szCs w:val="18"/>
        </w:rPr>
        <w:t>umber of enterprises and number of persons employed in the market research and the public polling</w:t>
      </w:r>
      <w:r>
        <w:rPr>
          <w:rFonts w:ascii="Times New Roman" w:hAnsi="Times New Roman" w:cs="Times New Roman"/>
          <w:i/>
          <w:iCs/>
          <w:sz w:val="18"/>
          <w:szCs w:val="18"/>
        </w:rPr>
        <w:t xml:space="preserve"> </w:t>
      </w:r>
      <w:r w:rsidRPr="00E411D5">
        <w:rPr>
          <w:rFonts w:ascii="Times New Roman" w:hAnsi="Times New Roman" w:cs="Times New Roman"/>
          <w:i/>
          <w:iCs/>
          <w:sz w:val="18"/>
          <w:szCs w:val="18"/>
        </w:rPr>
        <w:t xml:space="preserve">activity, a decrease which was more pronounced at the level of the old EU Member States. The paper also seeks to highlight the link between the macroeconomic outcomes and market size of market research and public opinion polling across EU countries, noting the existence of a direct and strong relationship between Gross domestic product and Turnover or </w:t>
      </w:r>
      <w:r>
        <w:rPr>
          <w:rFonts w:ascii="Times New Roman" w:hAnsi="Times New Roman" w:cs="Times New Roman"/>
          <w:i/>
          <w:iCs/>
          <w:sz w:val="18"/>
          <w:szCs w:val="18"/>
        </w:rPr>
        <w:t>g</w:t>
      </w:r>
      <w:r w:rsidRPr="00E411D5">
        <w:rPr>
          <w:rFonts w:ascii="Times New Roman" w:hAnsi="Times New Roman" w:cs="Times New Roman"/>
          <w:i/>
          <w:iCs/>
          <w:sz w:val="18"/>
          <w:szCs w:val="18"/>
        </w:rPr>
        <w:t>ross premiums Written both at EU-28 level and by categories of old and new member states. The analysis was based on official statistical data provided by Eurostat.</w:t>
      </w:r>
    </w:p>
    <w:p w:rsidR="00AC4991" w:rsidRPr="00E411D5" w:rsidRDefault="00AC4991" w:rsidP="00A15675">
      <w:pPr>
        <w:spacing w:after="0" w:line="240" w:lineRule="auto"/>
        <w:jc w:val="both"/>
        <w:rPr>
          <w:rFonts w:ascii="Times New Roman" w:hAnsi="Times New Roman" w:cs="Times New Roman"/>
          <w:i/>
          <w:iCs/>
          <w:color w:val="800000"/>
        </w:rPr>
      </w:pPr>
    </w:p>
    <w:p w:rsidR="00AC4991" w:rsidRPr="00E411D5" w:rsidRDefault="00AC4991" w:rsidP="00A15675">
      <w:pPr>
        <w:spacing w:after="0" w:line="240" w:lineRule="auto"/>
        <w:jc w:val="both"/>
        <w:rPr>
          <w:rFonts w:ascii="Times New Roman" w:hAnsi="Times New Roman" w:cs="Times New Roman"/>
          <w:b/>
          <w:bCs/>
        </w:rPr>
      </w:pPr>
      <w:r w:rsidRPr="00E411D5">
        <w:rPr>
          <w:rFonts w:ascii="Times New Roman" w:hAnsi="Times New Roman" w:cs="Times New Roman"/>
          <w:b/>
          <w:bCs/>
        </w:rPr>
        <w:t>Keywords</w:t>
      </w:r>
    </w:p>
    <w:p w:rsidR="00AC4991" w:rsidRPr="00E411D5" w:rsidRDefault="00AC4991" w:rsidP="00D402C7">
      <w:pPr>
        <w:spacing w:after="0" w:line="240" w:lineRule="auto"/>
        <w:jc w:val="both"/>
        <w:rPr>
          <w:rFonts w:ascii="Times New Roman" w:hAnsi="Times New Roman" w:cs="Times New Roman"/>
          <w:i/>
          <w:iCs/>
          <w:sz w:val="18"/>
          <w:szCs w:val="18"/>
        </w:rPr>
      </w:pPr>
      <w:r w:rsidRPr="00E411D5">
        <w:rPr>
          <w:rStyle w:val="longtext"/>
          <w:rFonts w:ascii="Times New Roman" w:hAnsi="Times New Roman" w:cs="Times New Roman"/>
          <w:i/>
          <w:iCs/>
          <w:sz w:val="18"/>
          <w:szCs w:val="18"/>
        </w:rPr>
        <w:t>Market research and</w:t>
      </w:r>
      <w:r>
        <w:rPr>
          <w:rStyle w:val="longtext"/>
          <w:rFonts w:ascii="Times New Roman" w:hAnsi="Times New Roman" w:cs="Times New Roman"/>
          <w:i/>
          <w:iCs/>
          <w:sz w:val="18"/>
          <w:szCs w:val="18"/>
        </w:rPr>
        <w:t xml:space="preserve"> public opinion polling, </w:t>
      </w:r>
      <w:r w:rsidRPr="00E411D5">
        <w:rPr>
          <w:rFonts w:ascii="Times New Roman" w:hAnsi="Times New Roman" w:cs="Times New Roman"/>
          <w:i/>
          <w:iCs/>
          <w:sz w:val="18"/>
          <w:szCs w:val="18"/>
        </w:rPr>
        <w:t xml:space="preserve">Turnover or </w:t>
      </w:r>
      <w:r>
        <w:rPr>
          <w:rFonts w:ascii="Times New Roman" w:hAnsi="Times New Roman" w:cs="Times New Roman"/>
          <w:i/>
          <w:iCs/>
          <w:sz w:val="18"/>
          <w:szCs w:val="18"/>
        </w:rPr>
        <w:t>g</w:t>
      </w:r>
      <w:r w:rsidRPr="00E411D5">
        <w:rPr>
          <w:rFonts w:ascii="Times New Roman" w:hAnsi="Times New Roman" w:cs="Times New Roman"/>
          <w:i/>
          <w:iCs/>
          <w:sz w:val="18"/>
          <w:szCs w:val="18"/>
        </w:rPr>
        <w:t>ross premiums written</w:t>
      </w:r>
      <w:r w:rsidRPr="00E411D5">
        <w:rPr>
          <w:rStyle w:val="longtext"/>
          <w:rFonts w:ascii="Times New Roman" w:hAnsi="Times New Roman" w:cs="Times New Roman"/>
          <w:i/>
          <w:iCs/>
          <w:sz w:val="18"/>
          <w:szCs w:val="18"/>
        </w:rPr>
        <w:t xml:space="preserve">, </w:t>
      </w:r>
      <w:r w:rsidRPr="00E411D5">
        <w:rPr>
          <w:rFonts w:ascii="Times New Roman" w:hAnsi="Times New Roman" w:cs="Times New Roman"/>
          <w:i/>
          <w:iCs/>
          <w:sz w:val="18"/>
          <w:szCs w:val="18"/>
        </w:rPr>
        <w:t>Number of enterprises,</w:t>
      </w:r>
      <w:r>
        <w:rPr>
          <w:rFonts w:ascii="Times New Roman" w:hAnsi="Times New Roman" w:cs="Times New Roman"/>
          <w:i/>
          <w:iCs/>
          <w:sz w:val="18"/>
          <w:szCs w:val="18"/>
        </w:rPr>
        <w:t xml:space="preserve"> </w:t>
      </w:r>
      <w:r w:rsidRPr="00E411D5">
        <w:rPr>
          <w:rFonts w:ascii="Times New Roman" w:hAnsi="Times New Roman" w:cs="Times New Roman"/>
          <w:i/>
          <w:iCs/>
          <w:sz w:val="18"/>
          <w:szCs w:val="18"/>
        </w:rPr>
        <w:t>Gross domestic product,</w:t>
      </w:r>
      <w:r w:rsidRPr="00E411D5">
        <w:rPr>
          <w:rStyle w:val="longtext"/>
          <w:rFonts w:ascii="Times New Roman" w:hAnsi="Times New Roman" w:cs="Times New Roman"/>
          <w:i/>
          <w:iCs/>
          <w:sz w:val="18"/>
          <w:szCs w:val="18"/>
        </w:rPr>
        <w:t xml:space="preserve"> EU member states</w:t>
      </w:r>
    </w:p>
    <w:p w:rsidR="00AC4991" w:rsidRPr="00E411D5" w:rsidRDefault="00AC4991" w:rsidP="00A15675">
      <w:pPr>
        <w:spacing w:after="0" w:line="240" w:lineRule="auto"/>
        <w:jc w:val="both"/>
        <w:rPr>
          <w:rFonts w:ascii="Times New Roman" w:hAnsi="Times New Roman" w:cs="Times New Roman"/>
        </w:rPr>
      </w:pPr>
    </w:p>
    <w:p w:rsidR="00AC4991" w:rsidRPr="00E411D5" w:rsidRDefault="00AC4991" w:rsidP="00A15675">
      <w:pPr>
        <w:spacing w:after="0" w:line="240" w:lineRule="auto"/>
        <w:jc w:val="both"/>
        <w:rPr>
          <w:rFonts w:ascii="Times New Roman" w:hAnsi="Times New Roman" w:cs="Times New Roman"/>
          <w:b/>
          <w:bCs/>
        </w:rPr>
      </w:pPr>
      <w:r w:rsidRPr="00E411D5">
        <w:rPr>
          <w:rFonts w:ascii="Times New Roman" w:hAnsi="Times New Roman" w:cs="Times New Roman"/>
          <w:b/>
          <w:bCs/>
        </w:rPr>
        <w:t>JEL Classification</w:t>
      </w:r>
    </w:p>
    <w:p w:rsidR="00AC4991" w:rsidRPr="00E411D5" w:rsidRDefault="00AC4991" w:rsidP="00A15675">
      <w:pPr>
        <w:spacing w:after="0" w:line="240" w:lineRule="auto"/>
        <w:jc w:val="both"/>
        <w:rPr>
          <w:rFonts w:ascii="Times New Roman" w:hAnsi="Times New Roman" w:cs="Times New Roman"/>
          <w:sz w:val="20"/>
          <w:szCs w:val="20"/>
        </w:rPr>
      </w:pPr>
      <w:r w:rsidRPr="00E411D5">
        <w:rPr>
          <w:rFonts w:ascii="Times New Roman" w:hAnsi="Times New Roman" w:cs="Times New Roman"/>
          <w:sz w:val="20"/>
          <w:szCs w:val="20"/>
        </w:rPr>
        <w:t>M31, M39, C10</w:t>
      </w:r>
    </w:p>
    <w:p w:rsidR="00AC4991" w:rsidRPr="00E411D5" w:rsidRDefault="00AC4991" w:rsidP="00A15675">
      <w:pPr>
        <w:spacing w:after="0" w:line="240" w:lineRule="auto"/>
        <w:jc w:val="both"/>
        <w:rPr>
          <w:rFonts w:ascii="Times New Roman" w:hAnsi="Times New Roman" w:cs="Times New Roman"/>
          <w:sz w:val="20"/>
          <w:szCs w:val="20"/>
        </w:rPr>
      </w:pPr>
    </w:p>
    <w:p w:rsidR="00AC4991" w:rsidRPr="00E411D5" w:rsidRDefault="00AC4991" w:rsidP="00A15675">
      <w:pPr>
        <w:spacing w:after="0" w:line="240" w:lineRule="auto"/>
        <w:jc w:val="both"/>
        <w:rPr>
          <w:rFonts w:ascii="Times New Roman" w:hAnsi="Times New Roman" w:cs="Times New Roman"/>
          <w:sz w:val="20"/>
          <w:szCs w:val="20"/>
        </w:rPr>
      </w:pPr>
    </w:p>
    <w:p w:rsidR="00AC4991" w:rsidRPr="00E411D5" w:rsidRDefault="00AC4991" w:rsidP="00AA6AA8">
      <w:pPr>
        <w:spacing w:after="0" w:line="240" w:lineRule="auto"/>
        <w:jc w:val="both"/>
        <w:rPr>
          <w:rFonts w:ascii="Times New Roman" w:hAnsi="Times New Roman" w:cs="Times New Roman"/>
          <w:sz w:val="20"/>
          <w:szCs w:val="20"/>
        </w:rPr>
      </w:pPr>
    </w:p>
    <w:p w:rsidR="00AC4991" w:rsidRPr="00A03E09" w:rsidRDefault="00AC4991" w:rsidP="00AA6AA8">
      <w:pPr>
        <w:shd w:val="clear" w:color="auto" w:fill="FFFFFF"/>
        <w:spacing w:after="0" w:line="240" w:lineRule="auto"/>
        <w:jc w:val="both"/>
        <w:textAlignment w:val="baseline"/>
        <w:rPr>
          <w:rFonts w:ascii="Times New Roman" w:hAnsi="Times New Roman" w:cs="Times New Roman"/>
          <w:sz w:val="20"/>
          <w:szCs w:val="20"/>
          <w:shd w:val="clear" w:color="auto" w:fill="FFFFFF"/>
        </w:rPr>
      </w:pPr>
      <w:r w:rsidRPr="00A03E09">
        <w:rPr>
          <w:rFonts w:ascii="Times New Roman" w:hAnsi="Times New Roman" w:cs="Times New Roman"/>
          <w:sz w:val="20"/>
          <w:szCs w:val="20"/>
          <w:shd w:val="clear" w:color="auto" w:fill="FFFFFF"/>
        </w:rPr>
        <w:t>The increased need for market research is undoubtedly the result of general economic development, increased competition, the dynamism of market phenomena that are often difficult or impossible to estimate, the diversification of the needs of increasingly demanding and</w:t>
      </w:r>
      <w:r>
        <w:rPr>
          <w:rFonts w:ascii="Times New Roman" w:hAnsi="Times New Roman" w:cs="Times New Roman"/>
          <w:sz w:val="20"/>
          <w:szCs w:val="20"/>
          <w:shd w:val="clear" w:color="auto" w:fill="FFFFFF"/>
        </w:rPr>
        <w:t xml:space="preserve"> sophisticated consumers etc.</w:t>
      </w:r>
      <w:r w:rsidRPr="00A03E09">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c</w:t>
      </w:r>
      <w:r w:rsidRPr="00A03E09">
        <w:rPr>
          <w:rFonts w:ascii="Times New Roman" w:hAnsi="Times New Roman" w:cs="Times New Roman"/>
          <w:sz w:val="20"/>
          <w:szCs w:val="20"/>
          <w:shd w:val="clear" w:color="auto" w:fill="FFFFFF"/>
        </w:rPr>
        <w:t xml:space="preserve">ontext in which organizations are forced to support </w:t>
      </w:r>
      <w:bookmarkStart w:id="0" w:name="OLE_LINK1"/>
      <w:bookmarkStart w:id="1" w:name="OLE_LINK2"/>
      <w:r w:rsidRPr="00A03E09">
        <w:rPr>
          <w:rFonts w:ascii="Times New Roman" w:hAnsi="Times New Roman" w:cs="Times New Roman"/>
          <w:sz w:val="20"/>
          <w:szCs w:val="20"/>
          <w:shd w:val="clear" w:color="auto" w:fill="FFFFFF"/>
        </w:rPr>
        <w:t>themselves</w:t>
      </w:r>
      <w:bookmarkEnd w:id="0"/>
      <w:bookmarkEnd w:id="1"/>
      <w:r w:rsidRPr="00A03E09">
        <w:rPr>
          <w:rFonts w:ascii="Times New Roman" w:hAnsi="Times New Roman" w:cs="Times New Roman"/>
          <w:sz w:val="20"/>
          <w:szCs w:val="20"/>
          <w:shd w:val="clear" w:color="auto" w:fill="FFFFFF"/>
        </w:rPr>
        <w:t xml:space="preserve"> in the decision-making process on </w:t>
      </w:r>
      <w:r>
        <w:rPr>
          <w:rFonts w:ascii="Times New Roman" w:hAnsi="Times New Roman" w:cs="Times New Roman"/>
          <w:sz w:val="20"/>
          <w:szCs w:val="20"/>
          <w:shd w:val="clear" w:color="auto" w:fill="FFFFFF"/>
        </w:rPr>
        <w:t xml:space="preserve">this kind of market </w:t>
      </w:r>
      <w:r w:rsidRPr="00A03E09">
        <w:rPr>
          <w:rFonts w:ascii="Times New Roman" w:hAnsi="Times New Roman" w:cs="Times New Roman"/>
          <w:sz w:val="20"/>
          <w:szCs w:val="20"/>
          <w:shd w:val="clear" w:color="auto" w:fill="FFFFFF"/>
        </w:rPr>
        <w:t>information.</w:t>
      </w:r>
    </w:p>
    <w:p w:rsidR="00AC4991" w:rsidRPr="00A03E09" w:rsidRDefault="00AC4991" w:rsidP="00AA6AA8">
      <w:pPr>
        <w:shd w:val="clear" w:color="auto" w:fill="FFFFFF"/>
        <w:spacing w:after="0" w:line="240" w:lineRule="auto"/>
        <w:jc w:val="both"/>
        <w:textAlignment w:val="baseline"/>
        <w:rPr>
          <w:rFonts w:ascii="Times New Roman" w:hAnsi="Times New Roman" w:cs="Times New Roman"/>
          <w:sz w:val="20"/>
          <w:szCs w:val="20"/>
          <w:shd w:val="clear" w:color="auto" w:fill="FFFFFF"/>
        </w:rPr>
      </w:pPr>
      <w:r w:rsidRPr="00A03E09">
        <w:rPr>
          <w:rFonts w:ascii="Times New Roman" w:hAnsi="Times New Roman" w:cs="Times New Roman"/>
          <w:sz w:val="20"/>
          <w:szCs w:val="20"/>
          <w:shd w:val="clear" w:color="auto" w:fill="FFFFFF"/>
        </w:rPr>
        <w:t xml:space="preserve">Worldwide, according to Statista (2017), global revenue of market research </w:t>
      </w:r>
      <w:r>
        <w:rPr>
          <w:rFonts w:ascii="Times New Roman" w:hAnsi="Times New Roman" w:cs="Times New Roman"/>
          <w:sz w:val="20"/>
          <w:szCs w:val="20"/>
          <w:shd w:val="clear" w:color="auto" w:fill="FFFFFF"/>
        </w:rPr>
        <w:t xml:space="preserve">business </w:t>
      </w:r>
      <w:r w:rsidRPr="00A03E09">
        <w:rPr>
          <w:rFonts w:ascii="Times New Roman" w:hAnsi="Times New Roman" w:cs="Times New Roman"/>
          <w:sz w:val="20"/>
          <w:szCs w:val="20"/>
          <w:shd w:val="clear" w:color="auto" w:fill="FFFFFF"/>
        </w:rPr>
        <w:t>was 44.35 billion U.S. Dollars</w:t>
      </w:r>
      <w:r>
        <w:rPr>
          <w:rFonts w:ascii="Times New Roman" w:hAnsi="Times New Roman" w:cs="Times New Roman"/>
          <w:sz w:val="20"/>
          <w:szCs w:val="20"/>
          <w:shd w:val="clear" w:color="auto" w:fill="FFFFFF"/>
        </w:rPr>
        <w:t xml:space="preserve"> in </w:t>
      </w:r>
      <w:r w:rsidRPr="00A03E09">
        <w:rPr>
          <w:rFonts w:ascii="Times New Roman" w:hAnsi="Times New Roman" w:cs="Times New Roman"/>
          <w:sz w:val="20"/>
          <w:szCs w:val="20"/>
          <w:shd w:val="clear" w:color="auto" w:fill="FFFFFF"/>
        </w:rPr>
        <w:t xml:space="preserve">2015, rising by over 40% compared to 2010 (31.24 billion US dollars). In total, Europe has a significant share, so that in 2015 over 37% of the global revenue of market research </w:t>
      </w:r>
      <w:r>
        <w:rPr>
          <w:rFonts w:ascii="Times New Roman" w:hAnsi="Times New Roman" w:cs="Times New Roman"/>
          <w:sz w:val="20"/>
          <w:szCs w:val="20"/>
          <w:shd w:val="clear" w:color="auto" w:fill="FFFFFF"/>
        </w:rPr>
        <w:t xml:space="preserve">business </w:t>
      </w:r>
      <w:r w:rsidRPr="00A03E09">
        <w:rPr>
          <w:rFonts w:ascii="Times New Roman" w:hAnsi="Times New Roman" w:cs="Times New Roman"/>
          <w:sz w:val="20"/>
          <w:szCs w:val="20"/>
          <w:shd w:val="clear" w:color="auto" w:fill="FFFFFF"/>
        </w:rPr>
        <w:t>belonged to it. (Figure 1)</w:t>
      </w:r>
    </w:p>
    <w:p w:rsidR="00AC4991" w:rsidRPr="00E411D5" w:rsidRDefault="00AC4991" w:rsidP="00A203ED">
      <w:pPr>
        <w:spacing w:after="0" w:line="240" w:lineRule="auto"/>
        <w:jc w:val="both"/>
        <w:rPr>
          <w:rFonts w:cs="Times New Roman"/>
          <w:sz w:val="20"/>
          <w:szCs w:val="20"/>
        </w:rPr>
      </w:pPr>
    </w:p>
    <w:p w:rsidR="00AC4991" w:rsidRPr="00B27E04" w:rsidRDefault="00AC4991" w:rsidP="003766D5">
      <w:pPr>
        <w:shd w:val="clear" w:color="auto" w:fill="FFFFFF"/>
        <w:spacing w:after="0" w:line="225" w:lineRule="atLeast"/>
        <w:jc w:val="center"/>
        <w:textAlignment w:val="baseline"/>
        <w:rPr>
          <w:rFonts w:ascii="Times New Roman" w:hAnsi="Times New Roman" w:cs="Times New Roman"/>
          <w:b/>
          <w:bCs/>
          <w:sz w:val="20"/>
          <w:szCs w:val="20"/>
          <w:shd w:val="clear" w:color="auto" w:fill="FFFFFF"/>
        </w:rPr>
      </w:pPr>
      <w:r w:rsidRPr="00484925">
        <w:rPr>
          <w:rFonts w:ascii="Times New Roman" w:hAnsi="Times New Roman" w:cs="Times New Roman"/>
          <w:b/>
          <w:bCs/>
          <w:noProof/>
          <w:sz w:val="20"/>
          <w:szCs w:val="20"/>
          <w:shd w:val="clear" w:color="auto" w:fill="FFFFFF"/>
        </w:rPr>
        <w:object w:dxaOrig="6934" w:dyaOrig="27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173.25pt" o:ole="">
            <v:imagedata r:id="rId7" o:title="" croptop="-3548f" cropbottom="-12795f" cropleft="-1314f" cropright="-7174f"/>
            <o:lock v:ext="edit" aspectratio="f"/>
          </v:shape>
          <o:OLEObject Type="Embed" ProgID="Excel.Chart.8" ShapeID="_x0000_i1025" DrawAspect="Content" ObjectID="_1561607701" r:id="rId8"/>
        </w:object>
      </w:r>
      <w:r w:rsidRPr="00B27E04">
        <w:rPr>
          <w:rFonts w:ascii="Times New Roman" w:hAnsi="Times New Roman" w:cs="Times New Roman"/>
          <w:b/>
          <w:bCs/>
          <w:sz w:val="20"/>
          <w:szCs w:val="20"/>
          <w:shd w:val="clear" w:color="auto" w:fill="FFFFFF"/>
        </w:rPr>
        <w:t>Figure 1. Structure of</w:t>
      </w:r>
      <w:r>
        <w:rPr>
          <w:rFonts w:ascii="Times New Roman" w:hAnsi="Times New Roman" w:cs="Times New Roman"/>
          <w:b/>
          <w:bCs/>
          <w:sz w:val="20"/>
          <w:szCs w:val="20"/>
          <w:shd w:val="clear" w:color="auto" w:fill="FFFFFF"/>
        </w:rPr>
        <w:t xml:space="preserve"> </w:t>
      </w:r>
      <w:r w:rsidRPr="00B27E04">
        <w:rPr>
          <w:rFonts w:ascii="Times New Roman" w:hAnsi="Times New Roman" w:cs="Times New Roman"/>
          <w:b/>
          <w:bCs/>
          <w:sz w:val="20"/>
          <w:szCs w:val="20"/>
        </w:rPr>
        <w:t>global revenue of market research</w:t>
      </w:r>
      <w:r>
        <w:rPr>
          <w:rFonts w:ascii="Times New Roman" w:hAnsi="Times New Roman" w:cs="Times New Roman"/>
          <w:b/>
          <w:bCs/>
          <w:sz w:val="20"/>
          <w:szCs w:val="20"/>
        </w:rPr>
        <w:t xml:space="preserve"> </w:t>
      </w:r>
      <w:r w:rsidRPr="00B27E04">
        <w:rPr>
          <w:rFonts w:ascii="Times New Roman" w:hAnsi="Times New Roman" w:cs="Times New Roman"/>
          <w:b/>
          <w:bCs/>
          <w:sz w:val="20"/>
          <w:szCs w:val="20"/>
        </w:rPr>
        <w:t>business</w:t>
      </w:r>
      <w:r>
        <w:rPr>
          <w:rFonts w:ascii="Times New Roman" w:hAnsi="Times New Roman" w:cs="Times New Roman"/>
          <w:b/>
          <w:bCs/>
          <w:sz w:val="20"/>
          <w:szCs w:val="20"/>
        </w:rPr>
        <w:t xml:space="preserve"> </w:t>
      </w:r>
      <w:r w:rsidRPr="00B27E04">
        <w:rPr>
          <w:rFonts w:ascii="Times New Roman" w:hAnsi="Times New Roman" w:cs="Times New Roman"/>
          <w:b/>
          <w:bCs/>
          <w:sz w:val="20"/>
          <w:szCs w:val="20"/>
          <w:shd w:val="clear" w:color="auto" w:fill="FFFFFF"/>
        </w:rPr>
        <w:t>per World regions in 2015</w:t>
      </w:r>
    </w:p>
    <w:p w:rsidR="00AC4991" w:rsidRPr="00E411D5" w:rsidRDefault="00AC4991" w:rsidP="003766D5">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w:t>
      </w:r>
      <w:r>
        <w:rPr>
          <w:rFonts w:ascii="Times New Roman" w:hAnsi="Times New Roman" w:cs="Times New Roman"/>
          <w:sz w:val="16"/>
          <w:szCs w:val="16"/>
        </w:rPr>
        <w:t>Source</w:t>
      </w:r>
      <w:r w:rsidRPr="00E411D5">
        <w:rPr>
          <w:rFonts w:ascii="Times New Roman" w:hAnsi="Times New Roman" w:cs="Times New Roman"/>
          <w:sz w:val="16"/>
          <w:szCs w:val="16"/>
        </w:rPr>
        <w:t xml:space="preserve">: </w:t>
      </w:r>
      <w:r>
        <w:rPr>
          <w:rFonts w:ascii="Times New Roman" w:hAnsi="Times New Roman" w:cs="Times New Roman"/>
          <w:sz w:val="16"/>
          <w:szCs w:val="16"/>
        </w:rPr>
        <w:t>own computation after</w:t>
      </w:r>
      <w:r w:rsidRPr="00E411D5">
        <w:rPr>
          <w:rFonts w:ascii="Times New Roman" w:hAnsi="Times New Roman" w:cs="Times New Roman"/>
          <w:sz w:val="16"/>
          <w:szCs w:val="16"/>
        </w:rPr>
        <w:t xml:space="preserve"> Statista, Inc., 2017)</w:t>
      </w:r>
    </w:p>
    <w:p w:rsidR="00AC4991" w:rsidRPr="00E411D5" w:rsidRDefault="00AC4991" w:rsidP="00A203ED">
      <w:pPr>
        <w:spacing w:after="0" w:line="240" w:lineRule="auto"/>
        <w:jc w:val="both"/>
        <w:rPr>
          <w:rFonts w:cs="Times New Roman"/>
          <w:sz w:val="20"/>
          <w:szCs w:val="20"/>
        </w:rPr>
      </w:pPr>
    </w:p>
    <w:p w:rsidR="00AC4991" w:rsidRPr="00E411D5" w:rsidRDefault="00AC4991" w:rsidP="00887ECB">
      <w:pPr>
        <w:shd w:val="clear" w:color="auto" w:fill="FFFFFF"/>
        <w:spacing w:after="0" w:line="225" w:lineRule="atLeast"/>
        <w:jc w:val="both"/>
        <w:textAlignment w:val="baseline"/>
        <w:rPr>
          <w:rFonts w:ascii="Times New Roman" w:hAnsi="Times New Roman" w:cs="Times New Roman"/>
          <w:sz w:val="20"/>
          <w:szCs w:val="20"/>
        </w:rPr>
      </w:pPr>
      <w:r w:rsidRPr="00B81778">
        <w:rPr>
          <w:rFonts w:ascii="Times New Roman" w:hAnsi="Times New Roman" w:cs="Times New Roman"/>
          <w:sz w:val="20"/>
          <w:szCs w:val="20"/>
        </w:rPr>
        <w:t>Also among the top five largest market research companies in the world with 2015 global res</w:t>
      </w:r>
      <w:r>
        <w:rPr>
          <w:rFonts w:ascii="Times New Roman" w:hAnsi="Times New Roman" w:cs="Times New Roman"/>
          <w:sz w:val="20"/>
          <w:szCs w:val="20"/>
        </w:rPr>
        <w:t>earch revenue over 1 billion US</w:t>
      </w:r>
      <w:r w:rsidRPr="00B81778">
        <w:rPr>
          <w:rFonts w:ascii="Times New Roman" w:hAnsi="Times New Roman" w:cs="Times New Roman"/>
          <w:sz w:val="20"/>
          <w:szCs w:val="20"/>
        </w:rPr>
        <w:t xml:space="preserve"> Dollars, three belong to the EU. (Table 1).</w:t>
      </w:r>
    </w:p>
    <w:p w:rsidR="00AC4991" w:rsidRPr="00E411D5" w:rsidRDefault="00AC4991" w:rsidP="00887ECB">
      <w:pPr>
        <w:shd w:val="clear" w:color="auto" w:fill="FFFFFF"/>
        <w:spacing w:after="0" w:line="225" w:lineRule="atLeast"/>
        <w:jc w:val="both"/>
        <w:textAlignment w:val="baseline"/>
        <w:rPr>
          <w:rFonts w:ascii="Times New Roman" w:hAnsi="Times New Roman" w:cs="Times New Roman"/>
          <w:sz w:val="20"/>
          <w:szCs w:val="20"/>
        </w:rPr>
      </w:pPr>
    </w:p>
    <w:p w:rsidR="00AC4991" w:rsidRPr="00E411D5" w:rsidRDefault="00AC4991" w:rsidP="009537BD">
      <w:pPr>
        <w:shd w:val="clear" w:color="auto" w:fill="FFFFFF"/>
        <w:spacing w:after="0" w:line="225" w:lineRule="atLeast"/>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Tab</w:t>
      </w:r>
      <w:r w:rsidRPr="00E411D5">
        <w:rPr>
          <w:rFonts w:ascii="Times New Roman" w:hAnsi="Times New Roman" w:cs="Times New Roman"/>
          <w:b/>
          <w:bCs/>
          <w:sz w:val="20"/>
          <w:szCs w:val="20"/>
        </w:rPr>
        <w:t>l</w:t>
      </w:r>
      <w:r>
        <w:rPr>
          <w:rFonts w:ascii="Times New Roman" w:hAnsi="Times New Roman" w:cs="Times New Roman"/>
          <w:b/>
          <w:bCs/>
          <w:sz w:val="20"/>
          <w:szCs w:val="20"/>
        </w:rPr>
        <w:t>e</w:t>
      </w:r>
      <w:r w:rsidRPr="00E411D5">
        <w:rPr>
          <w:rFonts w:ascii="Times New Roman" w:hAnsi="Times New Roman" w:cs="Times New Roman"/>
          <w:b/>
          <w:bCs/>
          <w:sz w:val="20"/>
          <w:szCs w:val="20"/>
        </w:rPr>
        <w:t xml:space="preserve"> 1. </w:t>
      </w:r>
      <w:r w:rsidRPr="00B81778">
        <w:rPr>
          <w:rFonts w:ascii="Times New Roman" w:hAnsi="Times New Roman" w:cs="Times New Roman"/>
          <w:b/>
          <w:bCs/>
          <w:sz w:val="20"/>
          <w:szCs w:val="20"/>
        </w:rPr>
        <w:t>The largest operators in global market research activity in 2015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566"/>
        <w:gridCol w:w="2930"/>
      </w:tblGrid>
      <w:tr w:rsidR="00AC4991" w:rsidRPr="00E411D5">
        <w:trPr>
          <w:jc w:val="center"/>
        </w:trPr>
        <w:tc>
          <w:tcPr>
            <w:tcW w:w="3566" w:type="dxa"/>
          </w:tcPr>
          <w:p w:rsidR="00AC4991" w:rsidRPr="00484925" w:rsidRDefault="00AC4991" w:rsidP="00484925">
            <w:pPr>
              <w:pStyle w:val="Heading2"/>
              <w:shd w:val="clear" w:color="auto" w:fill="FFFFFF"/>
              <w:spacing w:before="0" w:beforeAutospacing="0" w:after="0" w:afterAutospacing="0"/>
              <w:jc w:val="center"/>
              <w:textAlignment w:val="baseline"/>
              <w:rPr>
                <w:b w:val="0"/>
                <w:bCs w:val="0"/>
                <w:sz w:val="20"/>
                <w:szCs w:val="20"/>
              </w:rPr>
            </w:pPr>
            <w:r w:rsidRPr="00484925">
              <w:rPr>
                <w:rStyle w:val="Strong"/>
                <w:b/>
                <w:bCs/>
                <w:sz w:val="20"/>
                <w:szCs w:val="20"/>
                <w:bdr w:val="none" w:sz="0" w:space="0" w:color="auto" w:frame="1"/>
              </w:rPr>
              <w:t>Companies</w:t>
            </w:r>
          </w:p>
        </w:tc>
        <w:tc>
          <w:tcPr>
            <w:tcW w:w="2930" w:type="dxa"/>
          </w:tcPr>
          <w:p w:rsidR="00AC4991" w:rsidRPr="00484925" w:rsidRDefault="00AC4991" w:rsidP="00484925">
            <w:pPr>
              <w:pStyle w:val="Heading2"/>
              <w:shd w:val="clear" w:color="auto" w:fill="FFFFFF"/>
              <w:spacing w:before="0" w:beforeAutospacing="0" w:after="0" w:afterAutospacing="0"/>
              <w:jc w:val="center"/>
              <w:textAlignment w:val="baseline"/>
              <w:rPr>
                <w:b w:val="0"/>
                <w:bCs w:val="0"/>
                <w:sz w:val="20"/>
                <w:szCs w:val="20"/>
              </w:rPr>
            </w:pPr>
            <w:r w:rsidRPr="00484925">
              <w:rPr>
                <w:rStyle w:val="Strong"/>
                <w:b/>
                <w:bCs/>
                <w:sz w:val="20"/>
                <w:szCs w:val="20"/>
                <w:bdr w:val="none" w:sz="0" w:space="0" w:color="auto" w:frame="1"/>
              </w:rPr>
              <w:t>Revenue (billion U.S. dollars)</w:t>
            </w:r>
          </w:p>
        </w:tc>
      </w:tr>
      <w:tr w:rsidR="00AC4991" w:rsidRPr="00E411D5">
        <w:trPr>
          <w:jc w:val="center"/>
        </w:trPr>
        <w:tc>
          <w:tcPr>
            <w:tcW w:w="3566" w:type="dxa"/>
          </w:tcPr>
          <w:p w:rsidR="00AC4991" w:rsidRPr="00484925" w:rsidRDefault="00AC4991" w:rsidP="00484925">
            <w:pPr>
              <w:spacing w:after="0" w:line="240" w:lineRule="auto"/>
              <w:textAlignment w:val="baseline"/>
              <w:rPr>
                <w:rFonts w:ascii="Times New Roman" w:hAnsi="Times New Roman" w:cs="Times New Roman"/>
                <w:sz w:val="20"/>
                <w:szCs w:val="20"/>
              </w:rPr>
            </w:pPr>
            <w:r w:rsidRPr="00484925">
              <w:rPr>
                <w:rFonts w:ascii="Times New Roman" w:hAnsi="Times New Roman" w:cs="Times New Roman"/>
                <w:sz w:val="20"/>
                <w:szCs w:val="20"/>
                <w:shd w:val="clear" w:color="auto" w:fill="FFFFFF"/>
              </w:rPr>
              <w:t>Nielsen Holdings N.V.,</w:t>
            </w:r>
            <w:r w:rsidRPr="00484925">
              <w:rPr>
                <w:rStyle w:val="apple-converted-space"/>
                <w:rFonts w:ascii="Times New Roman" w:hAnsi="Times New Roman" w:cs="Times New Roman"/>
                <w:sz w:val="20"/>
                <w:szCs w:val="20"/>
                <w:shd w:val="clear" w:color="auto" w:fill="FFFFFF"/>
              </w:rPr>
              <w:t> United States</w:t>
            </w:r>
          </w:p>
        </w:tc>
        <w:tc>
          <w:tcPr>
            <w:tcW w:w="2930" w:type="dxa"/>
          </w:tcPr>
          <w:p w:rsidR="00AC4991" w:rsidRPr="00484925" w:rsidRDefault="00AC4991" w:rsidP="00484925">
            <w:pPr>
              <w:spacing w:after="0" w:line="240" w:lineRule="auto"/>
              <w:jc w:val="center"/>
              <w:textAlignment w:val="baseline"/>
              <w:rPr>
                <w:rFonts w:ascii="Times New Roman" w:hAnsi="Times New Roman" w:cs="Times New Roman"/>
                <w:sz w:val="20"/>
                <w:szCs w:val="20"/>
              </w:rPr>
            </w:pPr>
            <w:r w:rsidRPr="00484925">
              <w:rPr>
                <w:rFonts w:ascii="Times New Roman" w:hAnsi="Times New Roman" w:cs="Times New Roman"/>
                <w:sz w:val="20"/>
                <w:szCs w:val="20"/>
              </w:rPr>
              <w:t>6.17</w:t>
            </w:r>
          </w:p>
        </w:tc>
      </w:tr>
      <w:tr w:rsidR="00AC4991" w:rsidRPr="00E411D5">
        <w:trPr>
          <w:jc w:val="center"/>
        </w:trPr>
        <w:tc>
          <w:tcPr>
            <w:tcW w:w="3566" w:type="dxa"/>
          </w:tcPr>
          <w:p w:rsidR="00AC4991" w:rsidRPr="00484925" w:rsidRDefault="00AC4991" w:rsidP="00484925">
            <w:pPr>
              <w:spacing w:after="0" w:line="240" w:lineRule="auto"/>
              <w:textAlignment w:val="baseline"/>
              <w:rPr>
                <w:rFonts w:ascii="Times New Roman" w:hAnsi="Times New Roman" w:cs="Times New Roman"/>
                <w:sz w:val="20"/>
                <w:szCs w:val="20"/>
              </w:rPr>
            </w:pPr>
            <w:r w:rsidRPr="00484925">
              <w:rPr>
                <w:rFonts w:ascii="Times New Roman" w:hAnsi="Times New Roman" w:cs="Times New Roman"/>
                <w:sz w:val="20"/>
                <w:szCs w:val="20"/>
              </w:rPr>
              <w:t>Kantar, United Kingdom</w:t>
            </w:r>
          </w:p>
        </w:tc>
        <w:tc>
          <w:tcPr>
            <w:tcW w:w="2930" w:type="dxa"/>
          </w:tcPr>
          <w:p w:rsidR="00AC4991" w:rsidRPr="00484925" w:rsidRDefault="00AC4991" w:rsidP="00484925">
            <w:pPr>
              <w:spacing w:after="0" w:line="240" w:lineRule="auto"/>
              <w:jc w:val="center"/>
              <w:textAlignment w:val="baseline"/>
              <w:rPr>
                <w:rFonts w:ascii="Times New Roman" w:hAnsi="Times New Roman" w:cs="Times New Roman"/>
                <w:sz w:val="20"/>
                <w:szCs w:val="20"/>
              </w:rPr>
            </w:pPr>
            <w:r w:rsidRPr="00484925">
              <w:rPr>
                <w:rFonts w:ascii="Times New Roman" w:hAnsi="Times New Roman" w:cs="Times New Roman"/>
                <w:sz w:val="20"/>
                <w:szCs w:val="20"/>
              </w:rPr>
              <w:t>3.71</w:t>
            </w:r>
          </w:p>
        </w:tc>
      </w:tr>
      <w:tr w:rsidR="00AC4991" w:rsidRPr="00E411D5">
        <w:trPr>
          <w:jc w:val="center"/>
        </w:trPr>
        <w:tc>
          <w:tcPr>
            <w:tcW w:w="3566" w:type="dxa"/>
          </w:tcPr>
          <w:p w:rsidR="00AC4991" w:rsidRPr="00484925" w:rsidRDefault="00AC4991" w:rsidP="00484925">
            <w:pPr>
              <w:spacing w:after="0" w:line="240" w:lineRule="auto"/>
              <w:textAlignment w:val="baseline"/>
              <w:rPr>
                <w:rFonts w:ascii="Times New Roman" w:hAnsi="Times New Roman" w:cs="Times New Roman"/>
                <w:sz w:val="20"/>
                <w:szCs w:val="20"/>
              </w:rPr>
            </w:pPr>
            <w:r w:rsidRPr="00484925">
              <w:rPr>
                <w:rFonts w:ascii="Times New Roman" w:hAnsi="Times New Roman" w:cs="Times New Roman"/>
                <w:sz w:val="20"/>
                <w:szCs w:val="20"/>
              </w:rPr>
              <w:t>IMS Health Holdings INC. United States</w:t>
            </w:r>
          </w:p>
        </w:tc>
        <w:tc>
          <w:tcPr>
            <w:tcW w:w="2930" w:type="dxa"/>
          </w:tcPr>
          <w:p w:rsidR="00AC4991" w:rsidRPr="00484925" w:rsidRDefault="00AC4991" w:rsidP="00484925">
            <w:pPr>
              <w:spacing w:after="0" w:line="240" w:lineRule="auto"/>
              <w:jc w:val="center"/>
              <w:textAlignment w:val="baseline"/>
              <w:rPr>
                <w:rFonts w:ascii="Times New Roman" w:hAnsi="Times New Roman" w:cs="Times New Roman"/>
                <w:sz w:val="20"/>
                <w:szCs w:val="20"/>
              </w:rPr>
            </w:pPr>
            <w:r w:rsidRPr="00484925">
              <w:rPr>
                <w:rFonts w:ascii="Times New Roman" w:hAnsi="Times New Roman" w:cs="Times New Roman"/>
                <w:sz w:val="20"/>
                <w:szCs w:val="20"/>
              </w:rPr>
              <w:t>2.92</w:t>
            </w:r>
          </w:p>
        </w:tc>
      </w:tr>
      <w:tr w:rsidR="00AC4991" w:rsidRPr="00E411D5">
        <w:trPr>
          <w:jc w:val="center"/>
        </w:trPr>
        <w:tc>
          <w:tcPr>
            <w:tcW w:w="3566" w:type="dxa"/>
          </w:tcPr>
          <w:p w:rsidR="00AC4991" w:rsidRPr="00484925" w:rsidRDefault="00AC4991" w:rsidP="00484925">
            <w:pPr>
              <w:spacing w:after="0" w:line="240" w:lineRule="auto"/>
              <w:textAlignment w:val="baseline"/>
              <w:rPr>
                <w:rFonts w:ascii="Times New Roman" w:hAnsi="Times New Roman" w:cs="Times New Roman"/>
                <w:sz w:val="20"/>
                <w:szCs w:val="20"/>
              </w:rPr>
            </w:pPr>
            <w:r w:rsidRPr="00484925">
              <w:rPr>
                <w:rFonts w:ascii="Times New Roman" w:hAnsi="Times New Roman" w:cs="Times New Roman"/>
                <w:sz w:val="20"/>
                <w:szCs w:val="20"/>
              </w:rPr>
              <w:t>Ipsos SA, France</w:t>
            </w:r>
          </w:p>
        </w:tc>
        <w:tc>
          <w:tcPr>
            <w:tcW w:w="2930" w:type="dxa"/>
          </w:tcPr>
          <w:p w:rsidR="00AC4991" w:rsidRPr="00484925" w:rsidRDefault="00AC4991" w:rsidP="00484925">
            <w:pPr>
              <w:spacing w:after="0" w:line="240" w:lineRule="auto"/>
              <w:jc w:val="center"/>
              <w:textAlignment w:val="baseline"/>
              <w:rPr>
                <w:rFonts w:ascii="Times New Roman" w:hAnsi="Times New Roman" w:cs="Times New Roman"/>
                <w:sz w:val="20"/>
                <w:szCs w:val="20"/>
              </w:rPr>
            </w:pPr>
            <w:r w:rsidRPr="00484925">
              <w:rPr>
                <w:rFonts w:ascii="Times New Roman" w:hAnsi="Times New Roman" w:cs="Times New Roman"/>
                <w:sz w:val="20"/>
                <w:szCs w:val="20"/>
              </w:rPr>
              <w:t>1.98</w:t>
            </w:r>
          </w:p>
        </w:tc>
      </w:tr>
      <w:tr w:rsidR="00AC4991" w:rsidRPr="00E411D5">
        <w:trPr>
          <w:jc w:val="center"/>
        </w:trPr>
        <w:tc>
          <w:tcPr>
            <w:tcW w:w="3566" w:type="dxa"/>
          </w:tcPr>
          <w:p w:rsidR="00AC4991" w:rsidRPr="00484925" w:rsidRDefault="00AC4991" w:rsidP="00484925">
            <w:pPr>
              <w:spacing w:after="0" w:line="240" w:lineRule="auto"/>
              <w:textAlignment w:val="baseline"/>
              <w:rPr>
                <w:rFonts w:ascii="Times New Roman" w:hAnsi="Times New Roman" w:cs="Times New Roman"/>
                <w:sz w:val="20"/>
                <w:szCs w:val="20"/>
              </w:rPr>
            </w:pPr>
            <w:r w:rsidRPr="00484925">
              <w:rPr>
                <w:rFonts w:ascii="Times New Roman" w:hAnsi="Times New Roman" w:cs="Times New Roman"/>
                <w:sz w:val="20"/>
                <w:szCs w:val="20"/>
              </w:rPr>
              <w:t>Gfk SE, Germany</w:t>
            </w:r>
          </w:p>
        </w:tc>
        <w:tc>
          <w:tcPr>
            <w:tcW w:w="2930" w:type="dxa"/>
          </w:tcPr>
          <w:p w:rsidR="00AC4991" w:rsidRPr="00484925" w:rsidRDefault="00AC4991" w:rsidP="00484925">
            <w:pPr>
              <w:spacing w:after="0" w:line="240" w:lineRule="auto"/>
              <w:jc w:val="center"/>
              <w:textAlignment w:val="baseline"/>
              <w:rPr>
                <w:rFonts w:ascii="Times New Roman" w:hAnsi="Times New Roman" w:cs="Times New Roman"/>
                <w:sz w:val="20"/>
                <w:szCs w:val="20"/>
              </w:rPr>
            </w:pPr>
            <w:r w:rsidRPr="00484925">
              <w:rPr>
                <w:rFonts w:ascii="Times New Roman" w:hAnsi="Times New Roman" w:cs="Times New Roman"/>
                <w:sz w:val="20"/>
                <w:szCs w:val="20"/>
              </w:rPr>
              <w:t>1.71</w:t>
            </w:r>
          </w:p>
        </w:tc>
      </w:tr>
    </w:tbl>
    <w:p w:rsidR="00AC4991" w:rsidRPr="00E411D5" w:rsidRDefault="00AC4991" w:rsidP="00D509CF">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w:t>
      </w:r>
      <w:r>
        <w:rPr>
          <w:rFonts w:ascii="Times New Roman" w:hAnsi="Times New Roman" w:cs="Times New Roman"/>
          <w:sz w:val="16"/>
          <w:szCs w:val="16"/>
        </w:rPr>
        <w:t>Source</w:t>
      </w:r>
      <w:r w:rsidRPr="00E411D5">
        <w:rPr>
          <w:rFonts w:ascii="Times New Roman" w:hAnsi="Times New Roman" w:cs="Times New Roman"/>
          <w:sz w:val="16"/>
          <w:szCs w:val="16"/>
        </w:rPr>
        <w:t>: Statista, Inc., 2017)</w:t>
      </w:r>
    </w:p>
    <w:p w:rsidR="00AC4991" w:rsidRPr="00E411D5" w:rsidRDefault="00AC4991" w:rsidP="00887ECB">
      <w:pPr>
        <w:shd w:val="clear" w:color="auto" w:fill="FFFFFF"/>
        <w:spacing w:after="0" w:line="225" w:lineRule="atLeast"/>
        <w:jc w:val="both"/>
        <w:textAlignment w:val="baseline"/>
        <w:rPr>
          <w:rFonts w:ascii="Times New Roman" w:hAnsi="Times New Roman" w:cs="Times New Roman"/>
          <w:b/>
          <w:bCs/>
        </w:rPr>
      </w:pPr>
    </w:p>
    <w:p w:rsidR="00AC4991" w:rsidRDefault="00AC4991" w:rsidP="00887ECB">
      <w:pPr>
        <w:shd w:val="clear" w:color="auto" w:fill="FFFFFF"/>
        <w:spacing w:after="0" w:line="225" w:lineRule="atLeast"/>
        <w:jc w:val="both"/>
        <w:textAlignment w:val="baseline"/>
        <w:rPr>
          <w:rFonts w:ascii="Times New Roman" w:hAnsi="Times New Roman" w:cs="Times New Roman"/>
          <w:b/>
          <w:bCs/>
        </w:rPr>
      </w:pPr>
    </w:p>
    <w:p w:rsidR="00AC4991" w:rsidRPr="00357C49" w:rsidRDefault="00AC4991" w:rsidP="00245328">
      <w:pPr>
        <w:shd w:val="clear" w:color="auto" w:fill="FFFFFF"/>
        <w:spacing w:after="0" w:line="225" w:lineRule="atLeast"/>
        <w:jc w:val="both"/>
        <w:textAlignment w:val="baseline"/>
        <w:rPr>
          <w:rFonts w:ascii="Times New Roman" w:hAnsi="Times New Roman" w:cs="Times New Roman"/>
          <w:b/>
          <w:bCs/>
        </w:rPr>
      </w:pPr>
      <w:r w:rsidRPr="00357C49">
        <w:rPr>
          <w:rFonts w:ascii="Times New Roman" w:hAnsi="Times New Roman" w:cs="Times New Roman"/>
          <w:b/>
          <w:bCs/>
        </w:rPr>
        <w:t>Methodological aspects</w:t>
      </w:r>
    </w:p>
    <w:p w:rsidR="00AC4991" w:rsidRDefault="00AC4991" w:rsidP="00887ECB">
      <w:pPr>
        <w:shd w:val="clear" w:color="auto" w:fill="FFFFFF"/>
        <w:spacing w:after="0" w:line="225" w:lineRule="atLeast"/>
        <w:jc w:val="both"/>
        <w:textAlignment w:val="baseline"/>
        <w:rPr>
          <w:rFonts w:ascii="Times New Roman" w:hAnsi="Times New Roman" w:cs="Times New Roman"/>
          <w:sz w:val="20"/>
          <w:szCs w:val="20"/>
        </w:rPr>
      </w:pPr>
      <w:r w:rsidRPr="00357C49">
        <w:rPr>
          <w:rFonts w:ascii="Times New Roman" w:hAnsi="Times New Roman" w:cs="Times New Roman"/>
          <w:sz w:val="20"/>
          <w:szCs w:val="20"/>
        </w:rPr>
        <w:t>The aim of this paper is to highlight the evolution of the market research and public opinion polling business in the EU countries after 2010 and also to analyze the link between the macroeconomic outcomes and market size of market research and public opinion polling across EU countries.</w:t>
      </w:r>
      <w:r>
        <w:rPr>
          <w:rFonts w:ascii="Times New Roman" w:hAnsi="Times New Roman" w:cs="Times New Roman"/>
          <w:sz w:val="20"/>
          <w:szCs w:val="20"/>
        </w:rPr>
        <w:t xml:space="preserve"> </w:t>
      </w:r>
      <w:r w:rsidRPr="00357C49">
        <w:rPr>
          <w:rFonts w:ascii="Times New Roman" w:hAnsi="Times New Roman" w:cs="Times New Roman"/>
          <w:sz w:val="20"/>
          <w:szCs w:val="20"/>
        </w:rPr>
        <w:t>The study is based on official statistical data, using indicators for time series and for studying the links between variables for their analysis.</w:t>
      </w:r>
    </w:p>
    <w:p w:rsidR="00AC4991" w:rsidRDefault="00AC4991" w:rsidP="00887ECB">
      <w:pPr>
        <w:shd w:val="clear" w:color="auto" w:fill="FFFFFF"/>
        <w:spacing w:after="0" w:line="225" w:lineRule="atLeast"/>
        <w:jc w:val="both"/>
        <w:textAlignment w:val="baseline"/>
        <w:rPr>
          <w:rFonts w:ascii="Times New Roman" w:hAnsi="Times New Roman" w:cs="Times New Roman"/>
          <w:sz w:val="20"/>
          <w:szCs w:val="20"/>
        </w:rPr>
      </w:pPr>
    </w:p>
    <w:p w:rsidR="00AC4991" w:rsidRPr="00357C49" w:rsidRDefault="00AC4991" w:rsidP="00887ECB">
      <w:pPr>
        <w:shd w:val="clear" w:color="auto" w:fill="FFFFFF"/>
        <w:spacing w:after="0" w:line="225" w:lineRule="atLeast"/>
        <w:jc w:val="both"/>
        <w:textAlignment w:val="baseline"/>
        <w:rPr>
          <w:rFonts w:ascii="Times New Roman" w:hAnsi="Times New Roman" w:cs="Times New Roman"/>
          <w:sz w:val="20"/>
          <w:szCs w:val="20"/>
        </w:rPr>
      </w:pPr>
    </w:p>
    <w:p w:rsidR="00AC4991" w:rsidRPr="00E411D5" w:rsidRDefault="00AC4991" w:rsidP="00887ECB">
      <w:pPr>
        <w:shd w:val="clear" w:color="auto" w:fill="FFFFFF"/>
        <w:spacing w:after="0" w:line="225" w:lineRule="atLeast"/>
        <w:jc w:val="both"/>
        <w:textAlignment w:val="baseline"/>
        <w:rPr>
          <w:rFonts w:ascii="Times New Roman" w:hAnsi="Times New Roman" w:cs="Times New Roman"/>
          <w:b/>
          <w:bCs/>
          <w:color w:val="0000FF"/>
        </w:rPr>
      </w:pPr>
      <w:r w:rsidRPr="00B81778">
        <w:rPr>
          <w:rFonts w:ascii="Times New Roman" w:hAnsi="Times New Roman" w:cs="Times New Roman"/>
          <w:b/>
          <w:bCs/>
        </w:rPr>
        <w:t xml:space="preserve">The size and market dynamics of market research and public opinion polling </w:t>
      </w:r>
      <w:r>
        <w:rPr>
          <w:rFonts w:ascii="Times New Roman" w:hAnsi="Times New Roman" w:cs="Times New Roman"/>
          <w:b/>
          <w:bCs/>
        </w:rPr>
        <w:t>business</w:t>
      </w:r>
      <w:r w:rsidRPr="00B81778">
        <w:rPr>
          <w:rFonts w:ascii="Times New Roman" w:hAnsi="Times New Roman" w:cs="Times New Roman"/>
          <w:b/>
          <w:bCs/>
        </w:rPr>
        <w:t xml:space="preserve"> at EU level</w:t>
      </w:r>
    </w:p>
    <w:p w:rsidR="00AC4991" w:rsidRPr="00E411D5" w:rsidRDefault="00AC4991" w:rsidP="00AB610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The </w:t>
      </w:r>
      <w:r w:rsidRPr="00B81778">
        <w:rPr>
          <w:rFonts w:ascii="Times New Roman" w:hAnsi="Times New Roman" w:cs="Times New Roman"/>
          <w:sz w:val="20"/>
          <w:szCs w:val="20"/>
        </w:rPr>
        <w:t xml:space="preserve">market size and dynamics of market research and public opinion polling </w:t>
      </w:r>
      <w:r>
        <w:rPr>
          <w:rFonts w:ascii="Times New Roman" w:hAnsi="Times New Roman" w:cs="Times New Roman"/>
          <w:sz w:val="20"/>
          <w:szCs w:val="20"/>
        </w:rPr>
        <w:t xml:space="preserve">business </w:t>
      </w:r>
      <w:r w:rsidRPr="00B81778">
        <w:rPr>
          <w:rFonts w:ascii="Times New Roman" w:hAnsi="Times New Roman" w:cs="Times New Roman"/>
          <w:sz w:val="20"/>
          <w:szCs w:val="20"/>
        </w:rPr>
        <w:t xml:space="preserve">was assessed using the following indicators: </w:t>
      </w:r>
      <w:r>
        <w:rPr>
          <w:rFonts w:ascii="Times New Roman" w:hAnsi="Times New Roman" w:cs="Times New Roman"/>
          <w:sz w:val="20"/>
          <w:szCs w:val="20"/>
        </w:rPr>
        <w:t>T</w:t>
      </w:r>
      <w:r w:rsidRPr="00B81778">
        <w:rPr>
          <w:rFonts w:ascii="Times New Roman" w:hAnsi="Times New Roman" w:cs="Times New Roman"/>
          <w:sz w:val="20"/>
          <w:szCs w:val="20"/>
        </w:rPr>
        <w:t xml:space="preserve">urnover or </w:t>
      </w:r>
      <w:r>
        <w:rPr>
          <w:rFonts w:ascii="Times New Roman" w:hAnsi="Times New Roman" w:cs="Times New Roman"/>
          <w:sz w:val="20"/>
          <w:szCs w:val="20"/>
        </w:rPr>
        <w:t>g</w:t>
      </w:r>
      <w:r w:rsidRPr="00B81778">
        <w:rPr>
          <w:rFonts w:ascii="Times New Roman" w:hAnsi="Times New Roman" w:cs="Times New Roman"/>
          <w:sz w:val="20"/>
          <w:szCs w:val="20"/>
        </w:rPr>
        <w:t xml:space="preserve">ross premiums written, as well as </w:t>
      </w:r>
      <w:r>
        <w:rPr>
          <w:rFonts w:ascii="Times New Roman" w:hAnsi="Times New Roman" w:cs="Times New Roman"/>
          <w:sz w:val="20"/>
          <w:szCs w:val="20"/>
        </w:rPr>
        <w:t>N</w:t>
      </w:r>
      <w:r w:rsidRPr="00B81778">
        <w:rPr>
          <w:rFonts w:ascii="Times New Roman" w:hAnsi="Times New Roman" w:cs="Times New Roman"/>
          <w:sz w:val="20"/>
          <w:szCs w:val="20"/>
        </w:rPr>
        <w:t>umber of enterprises, respectively, using the latest available official data provided by Eurostat.</w:t>
      </w:r>
    </w:p>
    <w:p w:rsidR="00AC4991" w:rsidRPr="00E411D5" w:rsidRDefault="00AC4991" w:rsidP="00B02622">
      <w:pPr>
        <w:spacing w:after="0" w:line="240" w:lineRule="auto"/>
        <w:jc w:val="both"/>
        <w:rPr>
          <w:rFonts w:ascii="Times New Roman" w:hAnsi="Times New Roman" w:cs="Times New Roman"/>
          <w:sz w:val="20"/>
          <w:szCs w:val="20"/>
        </w:rPr>
      </w:pPr>
      <w:r w:rsidRPr="00B81778">
        <w:rPr>
          <w:rFonts w:ascii="Times New Roman" w:hAnsi="Times New Roman" w:cs="Times New Roman"/>
          <w:sz w:val="20"/>
          <w:szCs w:val="20"/>
        </w:rPr>
        <w:t xml:space="preserve">Taking into account the </w:t>
      </w:r>
      <w:r>
        <w:rPr>
          <w:rFonts w:ascii="Times New Roman" w:hAnsi="Times New Roman" w:cs="Times New Roman"/>
          <w:sz w:val="20"/>
          <w:szCs w:val="20"/>
        </w:rPr>
        <w:t>Turnover or g</w:t>
      </w:r>
      <w:r w:rsidRPr="00B81778">
        <w:rPr>
          <w:rFonts w:ascii="Times New Roman" w:hAnsi="Times New Roman" w:cs="Times New Roman"/>
          <w:sz w:val="20"/>
          <w:szCs w:val="20"/>
        </w:rPr>
        <w:t xml:space="preserve">ross premiums written indicator, the market research and public opinion polling </w:t>
      </w:r>
      <w:r>
        <w:rPr>
          <w:rFonts w:ascii="Times New Roman" w:hAnsi="Times New Roman" w:cs="Times New Roman"/>
          <w:sz w:val="20"/>
          <w:szCs w:val="20"/>
        </w:rPr>
        <w:t xml:space="preserve">business </w:t>
      </w:r>
      <w:r w:rsidRPr="00B81778">
        <w:rPr>
          <w:rFonts w:ascii="Times New Roman" w:hAnsi="Times New Roman" w:cs="Times New Roman"/>
          <w:sz w:val="20"/>
          <w:szCs w:val="20"/>
        </w:rPr>
        <w:t xml:space="preserve">at EU level reached </w:t>
      </w:r>
      <w:r>
        <w:rPr>
          <w:rFonts w:ascii="Times New Roman" w:hAnsi="Times New Roman" w:cs="Times New Roman"/>
          <w:sz w:val="20"/>
          <w:szCs w:val="20"/>
        </w:rPr>
        <w:t>18.9 billions in 2015 (up with 5.1 percent compared to 2011</w:t>
      </w:r>
      <w:r w:rsidRPr="00B81778">
        <w:rPr>
          <w:rFonts w:ascii="Times New Roman" w:hAnsi="Times New Roman" w:cs="Times New Roman"/>
          <w:sz w:val="20"/>
          <w:szCs w:val="20"/>
        </w:rPr>
        <w:t xml:space="preserve">). Almost 90% of the total turnover was </w:t>
      </w:r>
      <w:r>
        <w:rPr>
          <w:rFonts w:ascii="Times New Roman" w:hAnsi="Times New Roman" w:cs="Times New Roman"/>
          <w:sz w:val="20"/>
          <w:szCs w:val="20"/>
        </w:rPr>
        <w:t>made in</w:t>
      </w:r>
      <w:r w:rsidRPr="00B81778">
        <w:rPr>
          <w:rFonts w:ascii="Times New Roman" w:hAnsi="Times New Roman" w:cs="Times New Roman"/>
          <w:sz w:val="20"/>
          <w:szCs w:val="20"/>
        </w:rPr>
        <w:t xml:space="preserve"> the old EU member states (EU-15), while the new member states (Bulgaria, Czech Republic, Romania, Slovenia, Slovakia, Latvia, Lithuania, Croatia, Estonia) achieved just over 10% of this</w:t>
      </w:r>
      <w:r>
        <w:rPr>
          <w:rFonts w:ascii="Times New Roman" w:hAnsi="Times New Roman" w:cs="Times New Roman"/>
          <w:sz w:val="20"/>
          <w:szCs w:val="20"/>
        </w:rPr>
        <w:t xml:space="preserve"> </w:t>
      </w:r>
      <w:bookmarkStart w:id="2" w:name="OLE_LINK3"/>
      <w:bookmarkStart w:id="3" w:name="OLE_LINK4"/>
      <w:r>
        <w:rPr>
          <w:rFonts w:ascii="Times New Roman" w:hAnsi="Times New Roman" w:cs="Times New Roman"/>
          <w:sz w:val="20"/>
          <w:szCs w:val="20"/>
        </w:rPr>
        <w:t>sum</w:t>
      </w:r>
      <w:bookmarkEnd w:id="2"/>
      <w:bookmarkEnd w:id="3"/>
      <w:r w:rsidRPr="00B81778">
        <w:rPr>
          <w:rFonts w:ascii="Times New Roman" w:hAnsi="Times New Roman" w:cs="Times New Roman"/>
          <w:sz w:val="20"/>
          <w:szCs w:val="20"/>
        </w:rPr>
        <w:t>. Referring to the number of enterprises in the field of market research and public opinion polling</w:t>
      </w:r>
      <w:r>
        <w:rPr>
          <w:rFonts w:ascii="Times New Roman" w:hAnsi="Times New Roman" w:cs="Times New Roman"/>
          <w:sz w:val="20"/>
          <w:szCs w:val="20"/>
        </w:rPr>
        <w:t xml:space="preserve"> business</w:t>
      </w:r>
      <w:r w:rsidRPr="00B81778">
        <w:rPr>
          <w:rFonts w:ascii="Times New Roman" w:hAnsi="Times New Roman" w:cs="Times New Roman"/>
          <w:sz w:val="20"/>
          <w:szCs w:val="20"/>
        </w:rPr>
        <w:t xml:space="preserve">, in 2014 there were about 36.6 thousand </w:t>
      </w:r>
      <w:r>
        <w:rPr>
          <w:rFonts w:ascii="Times New Roman" w:hAnsi="Times New Roman" w:cs="Times New Roman"/>
          <w:sz w:val="20"/>
          <w:szCs w:val="20"/>
        </w:rPr>
        <w:t>businesses</w:t>
      </w:r>
      <w:r w:rsidRPr="00B81778">
        <w:rPr>
          <w:rFonts w:ascii="Times New Roman" w:hAnsi="Times New Roman" w:cs="Times New Roman"/>
          <w:sz w:val="20"/>
          <w:szCs w:val="20"/>
        </w:rPr>
        <w:t xml:space="preserve"> operating in the EU (down</w:t>
      </w:r>
      <w:r>
        <w:rPr>
          <w:rFonts w:ascii="Times New Roman" w:hAnsi="Times New Roman" w:cs="Times New Roman"/>
          <w:sz w:val="20"/>
          <w:szCs w:val="20"/>
        </w:rPr>
        <w:t xml:space="preserve"> with</w:t>
      </w:r>
      <w:r w:rsidRPr="00B81778">
        <w:rPr>
          <w:rFonts w:ascii="Times New Roman" w:hAnsi="Times New Roman" w:cs="Times New Roman"/>
          <w:sz w:val="20"/>
          <w:szCs w:val="20"/>
        </w:rPr>
        <w:t xml:space="preserve"> 3.6% compared to 2011), out of which about 74 % </w:t>
      </w:r>
      <w:r>
        <w:rPr>
          <w:rFonts w:ascii="Times New Roman" w:hAnsi="Times New Roman" w:cs="Times New Roman"/>
          <w:sz w:val="20"/>
          <w:szCs w:val="20"/>
        </w:rPr>
        <w:t>b</w:t>
      </w:r>
      <w:r w:rsidRPr="00B81778">
        <w:rPr>
          <w:rFonts w:ascii="Times New Roman" w:hAnsi="Times New Roman" w:cs="Times New Roman"/>
          <w:sz w:val="20"/>
          <w:szCs w:val="20"/>
        </w:rPr>
        <w:t xml:space="preserve">elonged to the old </w:t>
      </w:r>
      <w:r>
        <w:rPr>
          <w:rFonts w:ascii="Times New Roman" w:hAnsi="Times New Roman" w:cs="Times New Roman"/>
          <w:sz w:val="20"/>
          <w:szCs w:val="20"/>
        </w:rPr>
        <w:t>EU states</w:t>
      </w:r>
      <w:r w:rsidRPr="00B81778">
        <w:rPr>
          <w:rFonts w:ascii="Times New Roman" w:hAnsi="Times New Roman" w:cs="Times New Roman"/>
          <w:sz w:val="20"/>
          <w:szCs w:val="20"/>
        </w:rPr>
        <w:t xml:space="preserve">, and the </w:t>
      </w:r>
      <w:r>
        <w:rPr>
          <w:rFonts w:ascii="Times New Roman" w:hAnsi="Times New Roman" w:cs="Times New Roman"/>
          <w:sz w:val="20"/>
          <w:szCs w:val="20"/>
        </w:rPr>
        <w:t>n</w:t>
      </w:r>
      <w:r w:rsidRPr="00B81778">
        <w:rPr>
          <w:rFonts w:ascii="Times New Roman" w:hAnsi="Times New Roman" w:cs="Times New Roman"/>
          <w:sz w:val="20"/>
          <w:szCs w:val="20"/>
        </w:rPr>
        <w:t>umber of persons employed in the field amounted to over 189 thousand persons in 2015 (</w:t>
      </w:r>
      <w:r>
        <w:rPr>
          <w:rFonts w:ascii="Times New Roman" w:hAnsi="Times New Roman" w:cs="Times New Roman"/>
          <w:sz w:val="20"/>
          <w:szCs w:val="20"/>
        </w:rPr>
        <w:t>with</w:t>
      </w:r>
      <w:r w:rsidRPr="00B81778">
        <w:rPr>
          <w:rFonts w:ascii="Times New Roman" w:hAnsi="Times New Roman" w:cs="Times New Roman"/>
          <w:sz w:val="20"/>
          <w:szCs w:val="20"/>
        </w:rPr>
        <w:t xml:space="preserve"> 1.1% less than in 2011). Increasing </w:t>
      </w:r>
      <w:r>
        <w:rPr>
          <w:rFonts w:ascii="Times New Roman" w:hAnsi="Times New Roman" w:cs="Times New Roman"/>
          <w:sz w:val="20"/>
          <w:szCs w:val="20"/>
        </w:rPr>
        <w:t>T</w:t>
      </w:r>
      <w:r w:rsidRPr="00B81778">
        <w:rPr>
          <w:rFonts w:ascii="Times New Roman" w:hAnsi="Times New Roman" w:cs="Times New Roman"/>
          <w:sz w:val="20"/>
          <w:szCs w:val="20"/>
        </w:rPr>
        <w:t xml:space="preserve">urnover or </w:t>
      </w:r>
      <w:r>
        <w:rPr>
          <w:rFonts w:ascii="Times New Roman" w:hAnsi="Times New Roman" w:cs="Times New Roman"/>
          <w:sz w:val="20"/>
          <w:szCs w:val="20"/>
        </w:rPr>
        <w:t>g</w:t>
      </w:r>
      <w:r w:rsidRPr="00B81778">
        <w:rPr>
          <w:rFonts w:ascii="Times New Roman" w:hAnsi="Times New Roman" w:cs="Times New Roman"/>
          <w:sz w:val="20"/>
          <w:szCs w:val="20"/>
        </w:rPr>
        <w:t xml:space="preserve">ross premiums written on the background of falling </w:t>
      </w:r>
      <w:r>
        <w:rPr>
          <w:rFonts w:ascii="Times New Roman" w:hAnsi="Times New Roman" w:cs="Times New Roman"/>
          <w:sz w:val="20"/>
          <w:szCs w:val="20"/>
        </w:rPr>
        <w:t>n</w:t>
      </w:r>
      <w:r w:rsidRPr="00B81778">
        <w:rPr>
          <w:rFonts w:ascii="Times New Roman" w:hAnsi="Times New Roman" w:cs="Times New Roman"/>
          <w:sz w:val="20"/>
          <w:szCs w:val="20"/>
        </w:rPr>
        <w:t xml:space="preserve">umber of persons employed shows an increase in the efficiency of work in this field. In fact, this increase in efficiency was reflected only in the old EU member states (where </w:t>
      </w:r>
      <w:r>
        <w:rPr>
          <w:rFonts w:ascii="Times New Roman" w:hAnsi="Times New Roman" w:cs="Times New Roman"/>
          <w:sz w:val="20"/>
          <w:szCs w:val="20"/>
        </w:rPr>
        <w:t>n</w:t>
      </w:r>
      <w:r w:rsidRPr="00B81778">
        <w:rPr>
          <w:rFonts w:ascii="Times New Roman" w:hAnsi="Times New Roman" w:cs="Times New Roman"/>
          <w:sz w:val="20"/>
          <w:szCs w:val="20"/>
        </w:rPr>
        <w:t>umber of people employed declined by 2.4%), the indicator in the new EU member states rising. (Table 2 and Figure 2)</w:t>
      </w:r>
    </w:p>
    <w:p w:rsidR="00AC4991" w:rsidRPr="00E411D5" w:rsidRDefault="00AC4991" w:rsidP="00B02622">
      <w:pPr>
        <w:spacing w:after="0" w:line="240" w:lineRule="auto"/>
        <w:jc w:val="both"/>
        <w:rPr>
          <w:rFonts w:ascii="Times New Roman" w:hAnsi="Times New Roman" w:cs="Times New Roman"/>
          <w:sz w:val="20"/>
          <w:szCs w:val="20"/>
        </w:rPr>
      </w:pPr>
    </w:p>
    <w:p w:rsidR="00AC4991" w:rsidRDefault="00AC4991" w:rsidP="00531D02">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Table </w:t>
      </w:r>
      <w:r w:rsidRPr="00E411D5">
        <w:rPr>
          <w:rFonts w:ascii="Times New Roman" w:hAnsi="Times New Roman" w:cs="Times New Roman"/>
          <w:b/>
          <w:bCs/>
          <w:sz w:val="20"/>
          <w:szCs w:val="20"/>
        </w:rPr>
        <w:t>2.</w:t>
      </w:r>
      <w:r w:rsidRPr="00363F20">
        <w:rPr>
          <w:rFonts w:ascii="Times New Roman" w:hAnsi="Times New Roman" w:cs="Times New Roman"/>
          <w:b/>
          <w:bCs/>
          <w:sz w:val="20"/>
          <w:szCs w:val="20"/>
        </w:rPr>
        <w:t>The evolution of the market research and public opinion polling</w:t>
      </w:r>
      <w:r>
        <w:rPr>
          <w:rFonts w:ascii="Times New Roman" w:hAnsi="Times New Roman" w:cs="Times New Roman"/>
          <w:b/>
          <w:bCs/>
          <w:sz w:val="20"/>
          <w:szCs w:val="20"/>
        </w:rPr>
        <w:t xml:space="preserve"> business</w:t>
      </w:r>
      <w:r w:rsidRPr="00363F20">
        <w:rPr>
          <w:rFonts w:ascii="Times New Roman" w:hAnsi="Times New Roman" w:cs="Times New Roman"/>
          <w:b/>
          <w:bCs/>
          <w:sz w:val="20"/>
          <w:szCs w:val="20"/>
        </w:rPr>
        <w:t xml:space="preserve"> at the EU level, respectively in the old and new member states, in terms of Turnover or </w:t>
      </w:r>
      <w:r>
        <w:rPr>
          <w:rFonts w:ascii="Times New Roman" w:hAnsi="Times New Roman" w:cs="Times New Roman"/>
          <w:b/>
          <w:bCs/>
          <w:sz w:val="20"/>
          <w:szCs w:val="20"/>
        </w:rPr>
        <w:t>g</w:t>
      </w:r>
      <w:r w:rsidRPr="00363F20">
        <w:rPr>
          <w:rFonts w:ascii="Times New Roman" w:hAnsi="Times New Roman" w:cs="Times New Roman"/>
          <w:b/>
          <w:bCs/>
          <w:sz w:val="20"/>
          <w:szCs w:val="20"/>
        </w:rPr>
        <w:t>ross premiums written, Number of enterprises and Number of persons employed</w:t>
      </w:r>
    </w:p>
    <w:p w:rsidR="00AC4991" w:rsidRPr="00E411D5" w:rsidRDefault="00AC4991" w:rsidP="00531D02">
      <w:pPr>
        <w:spacing w:after="0" w:line="240" w:lineRule="auto"/>
        <w:jc w:val="center"/>
        <w:rPr>
          <w:rFonts w:ascii="Times New Roman" w:hAnsi="Times New Roman" w:cs="Times New Roman"/>
          <w:b/>
          <w:bCs/>
          <w:sz w:val="20"/>
          <w:szCs w:val="20"/>
        </w:rPr>
      </w:pPr>
    </w:p>
    <w:tbl>
      <w:tblPr>
        <w:tblW w:w="7595" w:type="dxa"/>
        <w:tblInd w:w="-106" w:type="dxa"/>
        <w:tblLook w:val="0000"/>
      </w:tblPr>
      <w:tblGrid>
        <w:gridCol w:w="1105"/>
        <w:gridCol w:w="880"/>
        <w:gridCol w:w="846"/>
        <w:gridCol w:w="473"/>
        <w:gridCol w:w="756"/>
        <w:gridCol w:w="756"/>
        <w:gridCol w:w="578"/>
        <w:gridCol w:w="801"/>
        <w:gridCol w:w="801"/>
        <w:gridCol w:w="599"/>
      </w:tblGrid>
      <w:tr w:rsidR="00AC4991" w:rsidRPr="00363F20">
        <w:trPr>
          <w:trHeight w:val="285"/>
        </w:trPr>
        <w:tc>
          <w:tcPr>
            <w:tcW w:w="1105" w:type="dxa"/>
            <w:vMerge w:val="restart"/>
            <w:tcBorders>
              <w:top w:val="single" w:sz="4" w:space="0" w:color="auto"/>
              <w:left w:val="single" w:sz="4" w:space="0" w:color="auto"/>
              <w:right w:val="single" w:sz="4" w:space="0" w:color="auto"/>
            </w:tcBorders>
            <w:noWrap/>
            <w:vAlign w:val="center"/>
          </w:tcPr>
          <w:p w:rsidR="00AC4991" w:rsidRPr="00AA6AA8" w:rsidRDefault="00AC4991" w:rsidP="001B48E9">
            <w:pPr>
              <w:spacing w:after="0" w:line="240" w:lineRule="auto"/>
              <w:jc w:val="center"/>
              <w:rPr>
                <w:rFonts w:ascii="Times New Roman" w:hAnsi="Times New Roman" w:cs="Times New Roman"/>
                <w:b/>
                <w:bCs/>
                <w:sz w:val="18"/>
                <w:szCs w:val="18"/>
              </w:rPr>
            </w:pPr>
            <w:r w:rsidRPr="00AA6AA8">
              <w:rPr>
                <w:rFonts w:ascii="Times New Roman" w:hAnsi="Times New Roman" w:cs="Times New Roman"/>
                <w:b/>
                <w:bCs/>
                <w:sz w:val="18"/>
                <w:szCs w:val="18"/>
              </w:rPr>
              <w:t>Country groups</w:t>
            </w:r>
          </w:p>
        </w:tc>
        <w:tc>
          <w:tcPr>
            <w:tcW w:w="2199" w:type="dxa"/>
            <w:gridSpan w:val="3"/>
            <w:tcBorders>
              <w:top w:val="single" w:sz="4" w:space="0" w:color="auto"/>
              <w:left w:val="nil"/>
              <w:bottom w:val="single" w:sz="4" w:space="0" w:color="auto"/>
              <w:right w:val="single" w:sz="4" w:space="0" w:color="auto"/>
            </w:tcBorders>
            <w:noWrap/>
            <w:vAlign w:val="center"/>
          </w:tcPr>
          <w:p w:rsidR="00AC4991" w:rsidRPr="00AA6AA8" w:rsidRDefault="00AC4991" w:rsidP="001B48E9">
            <w:pPr>
              <w:spacing w:after="0" w:line="240" w:lineRule="auto"/>
              <w:jc w:val="center"/>
              <w:rPr>
                <w:rFonts w:ascii="Times New Roman" w:hAnsi="Times New Roman" w:cs="Times New Roman"/>
                <w:b/>
                <w:bCs/>
                <w:sz w:val="18"/>
                <w:szCs w:val="18"/>
              </w:rPr>
            </w:pPr>
            <w:r w:rsidRPr="00AA6AA8">
              <w:rPr>
                <w:rFonts w:ascii="Times New Roman" w:hAnsi="Times New Roman" w:cs="Times New Roman"/>
                <w:b/>
                <w:bCs/>
                <w:sz w:val="18"/>
                <w:szCs w:val="18"/>
              </w:rPr>
              <w:t xml:space="preserve">Turnover or </w:t>
            </w:r>
            <w:r>
              <w:rPr>
                <w:rFonts w:ascii="Times New Roman" w:hAnsi="Times New Roman" w:cs="Times New Roman"/>
                <w:b/>
                <w:bCs/>
                <w:sz w:val="18"/>
                <w:szCs w:val="18"/>
              </w:rPr>
              <w:t>g</w:t>
            </w:r>
            <w:r w:rsidRPr="00AA6AA8">
              <w:rPr>
                <w:rFonts w:ascii="Times New Roman" w:hAnsi="Times New Roman" w:cs="Times New Roman"/>
                <w:b/>
                <w:bCs/>
                <w:sz w:val="18"/>
                <w:szCs w:val="18"/>
              </w:rPr>
              <w:t>ross premiums written</w:t>
            </w:r>
          </w:p>
          <w:p w:rsidR="00AC4991" w:rsidRPr="00AA6AA8" w:rsidRDefault="00AC4991" w:rsidP="001B48E9">
            <w:pPr>
              <w:spacing w:after="0" w:line="240" w:lineRule="auto"/>
              <w:jc w:val="center"/>
              <w:rPr>
                <w:rFonts w:ascii="Times New Roman" w:hAnsi="Times New Roman" w:cs="Times New Roman"/>
                <w:b/>
                <w:bCs/>
                <w:sz w:val="18"/>
                <w:szCs w:val="18"/>
              </w:rPr>
            </w:pPr>
            <w:r w:rsidRPr="00AA6AA8">
              <w:rPr>
                <w:rFonts w:ascii="Times New Roman" w:hAnsi="Times New Roman" w:cs="Times New Roman"/>
                <w:b/>
                <w:bCs/>
                <w:sz w:val="20"/>
                <w:szCs w:val="20"/>
              </w:rPr>
              <w:t>(</w:t>
            </w:r>
            <w:r w:rsidRPr="00185C82">
              <w:rPr>
                <w:rFonts w:ascii="Times New Roman" w:hAnsi="Times New Roman" w:cs="Times New Roman"/>
                <w:sz w:val="20"/>
                <w:szCs w:val="20"/>
              </w:rPr>
              <w:t>millions of €.)</w:t>
            </w:r>
          </w:p>
        </w:tc>
        <w:tc>
          <w:tcPr>
            <w:tcW w:w="2090" w:type="dxa"/>
            <w:gridSpan w:val="3"/>
            <w:tcBorders>
              <w:top w:val="single" w:sz="4" w:space="0" w:color="auto"/>
              <w:left w:val="nil"/>
              <w:bottom w:val="single" w:sz="4" w:space="0" w:color="auto"/>
              <w:right w:val="single" w:sz="4" w:space="0" w:color="auto"/>
            </w:tcBorders>
            <w:noWrap/>
            <w:vAlign w:val="center"/>
          </w:tcPr>
          <w:p w:rsidR="00AC4991" w:rsidRPr="00AA6AA8" w:rsidRDefault="00AC4991" w:rsidP="001B48E9">
            <w:pPr>
              <w:spacing w:after="0" w:line="240" w:lineRule="auto"/>
              <w:jc w:val="center"/>
              <w:rPr>
                <w:rFonts w:ascii="Times New Roman" w:hAnsi="Times New Roman" w:cs="Times New Roman"/>
                <w:b/>
                <w:bCs/>
                <w:sz w:val="18"/>
                <w:szCs w:val="18"/>
              </w:rPr>
            </w:pPr>
            <w:r w:rsidRPr="00AA6AA8">
              <w:rPr>
                <w:rFonts w:ascii="Times New Roman" w:hAnsi="Times New Roman" w:cs="Times New Roman"/>
                <w:b/>
                <w:bCs/>
                <w:sz w:val="18"/>
                <w:szCs w:val="18"/>
              </w:rPr>
              <w:t>Number of enterprises</w:t>
            </w:r>
          </w:p>
          <w:p w:rsidR="00AC4991" w:rsidRPr="00AA6AA8" w:rsidRDefault="00AC4991" w:rsidP="001B48E9">
            <w:pPr>
              <w:spacing w:after="0" w:line="240" w:lineRule="auto"/>
              <w:jc w:val="center"/>
              <w:rPr>
                <w:rFonts w:ascii="Times New Roman" w:hAnsi="Times New Roman" w:cs="Times New Roman"/>
                <w:b/>
                <w:bCs/>
                <w:sz w:val="18"/>
                <w:szCs w:val="18"/>
              </w:rPr>
            </w:pPr>
            <w:r w:rsidRPr="00AA6AA8">
              <w:rPr>
                <w:rFonts w:ascii="Times New Roman" w:hAnsi="Times New Roman" w:cs="Times New Roman"/>
                <w:b/>
                <w:bCs/>
                <w:sz w:val="18"/>
                <w:szCs w:val="18"/>
              </w:rPr>
              <w:t>(enterprises)</w:t>
            </w:r>
          </w:p>
        </w:tc>
        <w:tc>
          <w:tcPr>
            <w:tcW w:w="2201" w:type="dxa"/>
            <w:gridSpan w:val="3"/>
            <w:tcBorders>
              <w:top w:val="single" w:sz="4" w:space="0" w:color="auto"/>
              <w:left w:val="nil"/>
              <w:bottom w:val="single" w:sz="4" w:space="0" w:color="auto"/>
              <w:right w:val="single" w:sz="4" w:space="0" w:color="auto"/>
            </w:tcBorders>
            <w:noWrap/>
            <w:vAlign w:val="center"/>
          </w:tcPr>
          <w:p w:rsidR="00AC4991" w:rsidRPr="00185C82" w:rsidRDefault="00AC4991" w:rsidP="001B48E9">
            <w:pPr>
              <w:spacing w:after="0" w:line="240" w:lineRule="auto"/>
              <w:jc w:val="center"/>
              <w:rPr>
                <w:rFonts w:ascii="Times New Roman" w:hAnsi="Times New Roman" w:cs="Times New Roman"/>
                <w:sz w:val="20"/>
                <w:szCs w:val="20"/>
              </w:rPr>
            </w:pPr>
            <w:r w:rsidRPr="00AA6AA8">
              <w:rPr>
                <w:rFonts w:ascii="Times New Roman" w:hAnsi="Times New Roman" w:cs="Times New Roman"/>
                <w:b/>
                <w:bCs/>
                <w:sz w:val="18"/>
                <w:szCs w:val="18"/>
              </w:rPr>
              <w:t xml:space="preserve">Number of persons </w:t>
            </w:r>
            <w:r w:rsidRPr="00185C82">
              <w:rPr>
                <w:rFonts w:ascii="Times New Roman" w:hAnsi="Times New Roman" w:cs="Times New Roman"/>
                <w:sz w:val="20"/>
                <w:szCs w:val="20"/>
              </w:rPr>
              <w:t>employed</w:t>
            </w:r>
          </w:p>
          <w:p w:rsidR="00AC4991" w:rsidRPr="00AA6AA8" w:rsidRDefault="00AC4991" w:rsidP="001B48E9">
            <w:pPr>
              <w:spacing w:after="0" w:line="240" w:lineRule="auto"/>
              <w:jc w:val="center"/>
              <w:rPr>
                <w:rFonts w:ascii="Times New Roman" w:hAnsi="Times New Roman" w:cs="Times New Roman"/>
                <w:b/>
                <w:bCs/>
                <w:sz w:val="18"/>
                <w:szCs w:val="18"/>
              </w:rPr>
            </w:pPr>
            <w:r w:rsidRPr="00185C82">
              <w:rPr>
                <w:rFonts w:ascii="Times New Roman" w:hAnsi="Times New Roman" w:cs="Times New Roman"/>
                <w:sz w:val="20"/>
                <w:szCs w:val="20"/>
              </w:rPr>
              <w:t>(persons)</w:t>
            </w:r>
          </w:p>
        </w:tc>
      </w:tr>
      <w:tr w:rsidR="00AC4991" w:rsidRPr="00363F20">
        <w:trPr>
          <w:cantSplit/>
          <w:trHeight w:val="1682"/>
        </w:trPr>
        <w:tc>
          <w:tcPr>
            <w:tcW w:w="1105" w:type="dxa"/>
            <w:vMerge/>
            <w:tcBorders>
              <w:left w:val="single" w:sz="4" w:space="0" w:color="auto"/>
              <w:bottom w:val="single" w:sz="4" w:space="0" w:color="auto"/>
              <w:right w:val="single" w:sz="4" w:space="0" w:color="auto"/>
            </w:tcBorders>
            <w:noWrap/>
            <w:vAlign w:val="center"/>
          </w:tcPr>
          <w:p w:rsidR="00AC4991" w:rsidRPr="00363F20" w:rsidRDefault="00AC4991" w:rsidP="001B48E9">
            <w:pPr>
              <w:spacing w:after="0" w:line="240" w:lineRule="auto"/>
              <w:jc w:val="center"/>
              <w:rPr>
                <w:rFonts w:ascii="Times New Roman" w:hAnsi="Times New Roman" w:cs="Times New Roman"/>
                <w:sz w:val="18"/>
                <w:szCs w:val="18"/>
              </w:rPr>
            </w:pPr>
          </w:p>
        </w:tc>
        <w:tc>
          <w:tcPr>
            <w:tcW w:w="880" w:type="dxa"/>
            <w:tcBorders>
              <w:top w:val="nil"/>
              <w:left w:val="nil"/>
              <w:bottom w:val="single" w:sz="4" w:space="0" w:color="auto"/>
              <w:right w:val="single" w:sz="4" w:space="0" w:color="auto"/>
            </w:tcBorders>
            <w:noWrap/>
            <w:vAlign w:val="center"/>
          </w:tcPr>
          <w:p w:rsidR="00AC4991" w:rsidRPr="00AA6AA8" w:rsidRDefault="00AC4991" w:rsidP="001B48E9">
            <w:pPr>
              <w:spacing w:after="0" w:line="240" w:lineRule="auto"/>
              <w:jc w:val="center"/>
              <w:rPr>
                <w:rFonts w:ascii="Times New Roman" w:hAnsi="Times New Roman" w:cs="Times New Roman"/>
                <w:sz w:val="18"/>
                <w:szCs w:val="18"/>
              </w:rPr>
            </w:pPr>
            <w:r w:rsidRPr="00AA6AA8">
              <w:rPr>
                <w:rFonts w:ascii="Times New Roman" w:hAnsi="Times New Roman" w:cs="Times New Roman"/>
                <w:sz w:val="18"/>
                <w:szCs w:val="18"/>
              </w:rPr>
              <w:t>2011</w:t>
            </w:r>
          </w:p>
        </w:tc>
        <w:tc>
          <w:tcPr>
            <w:tcW w:w="846" w:type="dxa"/>
            <w:tcBorders>
              <w:top w:val="nil"/>
              <w:left w:val="nil"/>
              <w:bottom w:val="single" w:sz="4" w:space="0" w:color="auto"/>
              <w:right w:val="single" w:sz="4" w:space="0" w:color="auto"/>
            </w:tcBorders>
            <w:noWrap/>
            <w:vAlign w:val="center"/>
          </w:tcPr>
          <w:p w:rsidR="00AC4991" w:rsidRPr="00AA6AA8" w:rsidRDefault="00AC4991" w:rsidP="001B48E9">
            <w:pPr>
              <w:spacing w:after="0" w:line="240" w:lineRule="auto"/>
              <w:jc w:val="center"/>
              <w:rPr>
                <w:rFonts w:ascii="Times New Roman" w:hAnsi="Times New Roman" w:cs="Times New Roman"/>
                <w:sz w:val="18"/>
                <w:szCs w:val="18"/>
              </w:rPr>
            </w:pPr>
            <w:r w:rsidRPr="00AA6AA8">
              <w:rPr>
                <w:rFonts w:ascii="Times New Roman" w:hAnsi="Times New Roman" w:cs="Times New Roman"/>
                <w:sz w:val="18"/>
                <w:szCs w:val="18"/>
              </w:rPr>
              <w:t>2015</w:t>
            </w:r>
          </w:p>
        </w:tc>
        <w:tc>
          <w:tcPr>
            <w:tcW w:w="473" w:type="dxa"/>
            <w:tcBorders>
              <w:top w:val="nil"/>
              <w:left w:val="nil"/>
              <w:bottom w:val="single" w:sz="4" w:space="0" w:color="auto"/>
              <w:right w:val="single" w:sz="4" w:space="0" w:color="auto"/>
            </w:tcBorders>
            <w:noWrap/>
            <w:textDirection w:val="btLr"/>
            <w:vAlign w:val="center"/>
          </w:tcPr>
          <w:p w:rsidR="00AC4991" w:rsidRPr="00AA6AA8" w:rsidRDefault="00AC4991" w:rsidP="001B48E9">
            <w:pPr>
              <w:spacing w:after="0" w:line="240" w:lineRule="auto"/>
              <w:ind w:left="113" w:right="113"/>
              <w:jc w:val="center"/>
              <w:rPr>
                <w:rFonts w:ascii="Times New Roman" w:hAnsi="Times New Roman" w:cs="Times New Roman"/>
                <w:sz w:val="18"/>
                <w:szCs w:val="18"/>
              </w:rPr>
            </w:pPr>
            <w:r w:rsidRPr="00AA6AA8">
              <w:rPr>
                <w:rFonts w:ascii="Times New Roman" w:hAnsi="Times New Roman" w:cs="Times New Roman"/>
                <w:sz w:val="18"/>
                <w:szCs w:val="18"/>
              </w:rPr>
              <w:t xml:space="preserve">(+/- </w:t>
            </w:r>
            <w:r>
              <w:rPr>
                <w:rFonts w:ascii="Times New Roman" w:hAnsi="Times New Roman" w:cs="Times New Roman"/>
                <w:sz w:val="18"/>
                <w:szCs w:val="18"/>
              </w:rPr>
              <w:t>i</w:t>
            </w:r>
            <w:r w:rsidRPr="00AA6AA8">
              <w:rPr>
                <w:rFonts w:ascii="Times New Roman" w:hAnsi="Times New Roman" w:cs="Times New Roman"/>
                <w:sz w:val="18"/>
                <w:szCs w:val="18"/>
              </w:rPr>
              <w:t>n % in 2015 compared to 2011</w:t>
            </w:r>
          </w:p>
        </w:tc>
        <w:tc>
          <w:tcPr>
            <w:tcW w:w="756" w:type="dxa"/>
            <w:tcBorders>
              <w:top w:val="nil"/>
              <w:left w:val="nil"/>
              <w:bottom w:val="single" w:sz="4" w:space="0" w:color="auto"/>
              <w:right w:val="single" w:sz="4" w:space="0" w:color="auto"/>
            </w:tcBorders>
            <w:noWrap/>
            <w:vAlign w:val="center"/>
          </w:tcPr>
          <w:p w:rsidR="00AC4991" w:rsidRPr="00AA6AA8" w:rsidRDefault="00AC4991" w:rsidP="001B48E9">
            <w:pPr>
              <w:spacing w:after="0" w:line="240" w:lineRule="auto"/>
              <w:jc w:val="center"/>
              <w:rPr>
                <w:rFonts w:ascii="Times New Roman" w:hAnsi="Times New Roman" w:cs="Times New Roman"/>
                <w:sz w:val="18"/>
                <w:szCs w:val="18"/>
              </w:rPr>
            </w:pPr>
            <w:r w:rsidRPr="00AA6AA8">
              <w:rPr>
                <w:rFonts w:ascii="Times New Roman" w:hAnsi="Times New Roman" w:cs="Times New Roman"/>
                <w:sz w:val="18"/>
                <w:szCs w:val="18"/>
              </w:rPr>
              <w:t>2011</w:t>
            </w:r>
          </w:p>
        </w:tc>
        <w:tc>
          <w:tcPr>
            <w:tcW w:w="756" w:type="dxa"/>
            <w:tcBorders>
              <w:top w:val="nil"/>
              <w:left w:val="nil"/>
              <w:bottom w:val="single" w:sz="4" w:space="0" w:color="auto"/>
              <w:right w:val="single" w:sz="4" w:space="0" w:color="auto"/>
            </w:tcBorders>
            <w:noWrap/>
            <w:vAlign w:val="center"/>
          </w:tcPr>
          <w:p w:rsidR="00AC4991" w:rsidRPr="00AA6AA8" w:rsidRDefault="00AC4991" w:rsidP="001B48E9">
            <w:pPr>
              <w:spacing w:after="0" w:line="240" w:lineRule="auto"/>
              <w:jc w:val="center"/>
              <w:rPr>
                <w:rFonts w:ascii="Times New Roman" w:hAnsi="Times New Roman" w:cs="Times New Roman"/>
                <w:sz w:val="18"/>
                <w:szCs w:val="18"/>
              </w:rPr>
            </w:pPr>
            <w:r w:rsidRPr="00AA6AA8">
              <w:rPr>
                <w:rFonts w:ascii="Times New Roman" w:hAnsi="Times New Roman" w:cs="Times New Roman"/>
                <w:sz w:val="18"/>
                <w:szCs w:val="18"/>
              </w:rPr>
              <w:t>2014</w:t>
            </w:r>
          </w:p>
        </w:tc>
        <w:tc>
          <w:tcPr>
            <w:tcW w:w="578" w:type="dxa"/>
            <w:tcBorders>
              <w:top w:val="nil"/>
              <w:left w:val="nil"/>
              <w:bottom w:val="single" w:sz="4" w:space="0" w:color="auto"/>
              <w:right w:val="single" w:sz="4" w:space="0" w:color="auto"/>
            </w:tcBorders>
            <w:noWrap/>
            <w:textDirection w:val="btLr"/>
            <w:vAlign w:val="center"/>
          </w:tcPr>
          <w:p w:rsidR="00AC4991" w:rsidRPr="00AA6AA8" w:rsidRDefault="00AC4991" w:rsidP="006932C1">
            <w:pPr>
              <w:spacing w:after="0" w:line="240" w:lineRule="auto"/>
              <w:ind w:left="113" w:right="113"/>
              <w:jc w:val="center"/>
              <w:rPr>
                <w:rFonts w:ascii="Times New Roman" w:hAnsi="Times New Roman" w:cs="Times New Roman"/>
                <w:sz w:val="18"/>
                <w:szCs w:val="18"/>
              </w:rPr>
            </w:pPr>
            <w:r w:rsidRPr="00AA6AA8">
              <w:rPr>
                <w:rFonts w:ascii="Times New Roman" w:hAnsi="Times New Roman" w:cs="Times New Roman"/>
                <w:sz w:val="18"/>
                <w:szCs w:val="18"/>
              </w:rPr>
              <w:t xml:space="preserve">(+/- </w:t>
            </w:r>
            <w:r>
              <w:rPr>
                <w:rFonts w:ascii="Times New Roman" w:hAnsi="Times New Roman" w:cs="Times New Roman"/>
                <w:sz w:val="18"/>
                <w:szCs w:val="18"/>
              </w:rPr>
              <w:t>i</w:t>
            </w:r>
            <w:r w:rsidRPr="00AA6AA8">
              <w:rPr>
                <w:rFonts w:ascii="Times New Roman" w:hAnsi="Times New Roman" w:cs="Times New Roman"/>
                <w:sz w:val="18"/>
                <w:szCs w:val="18"/>
              </w:rPr>
              <w:t>n % in 2014 compared to 2011</w:t>
            </w:r>
          </w:p>
        </w:tc>
        <w:tc>
          <w:tcPr>
            <w:tcW w:w="801" w:type="dxa"/>
            <w:tcBorders>
              <w:top w:val="nil"/>
              <w:left w:val="nil"/>
              <w:bottom w:val="single" w:sz="4" w:space="0" w:color="auto"/>
              <w:right w:val="single" w:sz="4" w:space="0" w:color="auto"/>
            </w:tcBorders>
            <w:noWrap/>
            <w:vAlign w:val="center"/>
          </w:tcPr>
          <w:p w:rsidR="00AC4991" w:rsidRPr="00AA6AA8" w:rsidRDefault="00AC4991" w:rsidP="001B48E9">
            <w:pPr>
              <w:spacing w:after="0" w:line="240" w:lineRule="auto"/>
              <w:jc w:val="center"/>
              <w:rPr>
                <w:rFonts w:ascii="Times New Roman" w:hAnsi="Times New Roman" w:cs="Times New Roman"/>
                <w:sz w:val="18"/>
                <w:szCs w:val="18"/>
              </w:rPr>
            </w:pPr>
            <w:r w:rsidRPr="00AA6AA8">
              <w:rPr>
                <w:rFonts w:ascii="Times New Roman" w:hAnsi="Times New Roman" w:cs="Times New Roman"/>
                <w:sz w:val="18"/>
                <w:szCs w:val="18"/>
              </w:rPr>
              <w:t>2011</w:t>
            </w:r>
          </w:p>
        </w:tc>
        <w:tc>
          <w:tcPr>
            <w:tcW w:w="801" w:type="dxa"/>
            <w:tcBorders>
              <w:top w:val="nil"/>
              <w:left w:val="nil"/>
              <w:bottom w:val="single" w:sz="4" w:space="0" w:color="auto"/>
              <w:right w:val="single" w:sz="4" w:space="0" w:color="auto"/>
            </w:tcBorders>
            <w:noWrap/>
            <w:vAlign w:val="center"/>
          </w:tcPr>
          <w:p w:rsidR="00AC4991" w:rsidRPr="00AA6AA8" w:rsidRDefault="00AC4991" w:rsidP="001B48E9">
            <w:pPr>
              <w:spacing w:after="0" w:line="240" w:lineRule="auto"/>
              <w:jc w:val="center"/>
              <w:rPr>
                <w:rFonts w:ascii="Times New Roman" w:hAnsi="Times New Roman" w:cs="Times New Roman"/>
                <w:sz w:val="18"/>
                <w:szCs w:val="18"/>
              </w:rPr>
            </w:pPr>
            <w:r w:rsidRPr="00AA6AA8">
              <w:rPr>
                <w:rFonts w:ascii="Times New Roman" w:hAnsi="Times New Roman" w:cs="Times New Roman"/>
                <w:sz w:val="18"/>
                <w:szCs w:val="18"/>
              </w:rPr>
              <w:t>2015</w:t>
            </w:r>
          </w:p>
        </w:tc>
        <w:tc>
          <w:tcPr>
            <w:tcW w:w="599" w:type="dxa"/>
            <w:tcBorders>
              <w:top w:val="nil"/>
              <w:left w:val="nil"/>
              <w:bottom w:val="single" w:sz="4" w:space="0" w:color="auto"/>
              <w:right w:val="single" w:sz="4" w:space="0" w:color="auto"/>
            </w:tcBorders>
            <w:noWrap/>
            <w:textDirection w:val="btLr"/>
            <w:vAlign w:val="center"/>
          </w:tcPr>
          <w:p w:rsidR="00AC4991" w:rsidRPr="00AA6AA8" w:rsidRDefault="00AC4991" w:rsidP="006932C1">
            <w:pPr>
              <w:spacing w:after="0" w:line="240" w:lineRule="auto"/>
              <w:ind w:left="113" w:right="113"/>
              <w:jc w:val="center"/>
              <w:rPr>
                <w:rFonts w:ascii="Times New Roman" w:hAnsi="Times New Roman" w:cs="Times New Roman"/>
                <w:sz w:val="18"/>
                <w:szCs w:val="18"/>
              </w:rPr>
            </w:pPr>
            <w:r w:rsidRPr="00AA6AA8">
              <w:rPr>
                <w:rFonts w:ascii="Times New Roman" w:hAnsi="Times New Roman" w:cs="Times New Roman"/>
                <w:sz w:val="18"/>
                <w:szCs w:val="18"/>
              </w:rPr>
              <w:t xml:space="preserve">(+/- </w:t>
            </w:r>
            <w:r>
              <w:rPr>
                <w:rFonts w:ascii="Times New Roman" w:hAnsi="Times New Roman" w:cs="Times New Roman"/>
                <w:sz w:val="18"/>
                <w:szCs w:val="18"/>
              </w:rPr>
              <w:t>i</w:t>
            </w:r>
            <w:r w:rsidRPr="00AA6AA8">
              <w:rPr>
                <w:rFonts w:ascii="Times New Roman" w:hAnsi="Times New Roman" w:cs="Times New Roman"/>
                <w:sz w:val="18"/>
                <w:szCs w:val="18"/>
              </w:rPr>
              <w:t>n % in 2015 compared to 2011</w:t>
            </w:r>
          </w:p>
        </w:tc>
      </w:tr>
      <w:tr w:rsidR="00AC4991" w:rsidRPr="00363F20">
        <w:trPr>
          <w:trHeight w:val="512"/>
        </w:trPr>
        <w:tc>
          <w:tcPr>
            <w:tcW w:w="1105" w:type="dxa"/>
            <w:tcBorders>
              <w:top w:val="nil"/>
              <w:left w:val="single" w:sz="4" w:space="0" w:color="auto"/>
              <w:bottom w:val="single" w:sz="4" w:space="0" w:color="auto"/>
              <w:right w:val="single" w:sz="4" w:space="0" w:color="auto"/>
            </w:tcBorders>
            <w:noWrap/>
            <w:vAlign w:val="center"/>
          </w:tcPr>
          <w:p w:rsidR="00AC4991" w:rsidRPr="00363F20" w:rsidRDefault="00AC4991" w:rsidP="0022220F">
            <w:pPr>
              <w:spacing w:after="0" w:line="240" w:lineRule="auto"/>
              <w:rPr>
                <w:rFonts w:ascii="Times New Roman" w:hAnsi="Times New Roman" w:cs="Times New Roman"/>
                <w:sz w:val="18"/>
                <w:szCs w:val="18"/>
              </w:rPr>
            </w:pPr>
            <w:r w:rsidRPr="00363F20">
              <w:rPr>
                <w:rFonts w:ascii="Times New Roman" w:hAnsi="Times New Roman" w:cs="Times New Roman"/>
                <w:sz w:val="18"/>
                <w:szCs w:val="18"/>
              </w:rPr>
              <w:t>The EU – 15</w:t>
            </w:r>
          </w:p>
        </w:tc>
        <w:tc>
          <w:tcPr>
            <w:tcW w:w="880"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16028.7</w:t>
            </w:r>
          </w:p>
        </w:tc>
        <w:tc>
          <w:tcPr>
            <w:tcW w:w="846"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16883.0</w:t>
            </w:r>
          </w:p>
        </w:tc>
        <w:tc>
          <w:tcPr>
            <w:tcW w:w="473"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5.3</w:t>
            </w:r>
          </w:p>
        </w:tc>
        <w:tc>
          <w:tcPr>
            <w:tcW w:w="756"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28303</w:t>
            </w:r>
          </w:p>
        </w:tc>
        <w:tc>
          <w:tcPr>
            <w:tcW w:w="756"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26934</w:t>
            </w:r>
          </w:p>
        </w:tc>
        <w:tc>
          <w:tcPr>
            <w:tcW w:w="578"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-4.8</w:t>
            </w:r>
          </w:p>
        </w:tc>
        <w:tc>
          <w:tcPr>
            <w:tcW w:w="801"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160211</w:t>
            </w:r>
          </w:p>
        </w:tc>
        <w:tc>
          <w:tcPr>
            <w:tcW w:w="801"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156427</w:t>
            </w:r>
          </w:p>
        </w:tc>
        <w:tc>
          <w:tcPr>
            <w:tcW w:w="599"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-2.4</w:t>
            </w:r>
          </w:p>
        </w:tc>
      </w:tr>
      <w:tr w:rsidR="00AC4991" w:rsidRPr="00363F20">
        <w:trPr>
          <w:trHeight w:val="285"/>
        </w:trPr>
        <w:tc>
          <w:tcPr>
            <w:tcW w:w="1105" w:type="dxa"/>
            <w:tcBorders>
              <w:top w:val="nil"/>
              <w:left w:val="single" w:sz="4" w:space="0" w:color="auto"/>
              <w:bottom w:val="single" w:sz="4" w:space="0" w:color="auto"/>
              <w:right w:val="single" w:sz="4" w:space="0" w:color="auto"/>
            </w:tcBorders>
            <w:noWrap/>
            <w:vAlign w:val="center"/>
          </w:tcPr>
          <w:p w:rsidR="00AC4991" w:rsidRPr="00363F20" w:rsidRDefault="00AC4991" w:rsidP="0022220F">
            <w:pPr>
              <w:spacing w:after="0" w:line="240" w:lineRule="auto"/>
              <w:rPr>
                <w:rFonts w:ascii="Times New Roman" w:hAnsi="Times New Roman" w:cs="Times New Roman"/>
                <w:sz w:val="18"/>
                <w:szCs w:val="18"/>
              </w:rPr>
            </w:pPr>
            <w:r w:rsidRPr="00363F20">
              <w:rPr>
                <w:rFonts w:ascii="Times New Roman" w:hAnsi="Times New Roman" w:cs="Times New Roman"/>
                <w:sz w:val="18"/>
                <w:szCs w:val="18"/>
              </w:rPr>
              <w:t>The new member states of the UE</w:t>
            </w:r>
          </w:p>
        </w:tc>
        <w:tc>
          <w:tcPr>
            <w:tcW w:w="880"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1996.7</w:t>
            </w:r>
          </w:p>
        </w:tc>
        <w:tc>
          <w:tcPr>
            <w:tcW w:w="846"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2063.6</w:t>
            </w:r>
          </w:p>
        </w:tc>
        <w:tc>
          <w:tcPr>
            <w:tcW w:w="473"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3.4</w:t>
            </w:r>
          </w:p>
        </w:tc>
        <w:tc>
          <w:tcPr>
            <w:tcW w:w="756"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9620</w:t>
            </w:r>
          </w:p>
        </w:tc>
        <w:tc>
          <w:tcPr>
            <w:tcW w:w="756"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9641</w:t>
            </w:r>
          </w:p>
        </w:tc>
        <w:tc>
          <w:tcPr>
            <w:tcW w:w="578"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0.2</w:t>
            </w:r>
          </w:p>
        </w:tc>
        <w:tc>
          <w:tcPr>
            <w:tcW w:w="801"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31089</w:t>
            </w:r>
          </w:p>
        </w:tc>
        <w:tc>
          <w:tcPr>
            <w:tcW w:w="801"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32709</w:t>
            </w:r>
          </w:p>
        </w:tc>
        <w:tc>
          <w:tcPr>
            <w:tcW w:w="599"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5.2</w:t>
            </w:r>
          </w:p>
        </w:tc>
      </w:tr>
      <w:tr w:rsidR="00AC4991" w:rsidRPr="00363F20">
        <w:trPr>
          <w:trHeight w:val="285"/>
        </w:trPr>
        <w:tc>
          <w:tcPr>
            <w:tcW w:w="1105" w:type="dxa"/>
            <w:tcBorders>
              <w:top w:val="nil"/>
              <w:left w:val="single" w:sz="4" w:space="0" w:color="auto"/>
              <w:bottom w:val="single" w:sz="4" w:space="0" w:color="auto"/>
              <w:right w:val="single" w:sz="4" w:space="0" w:color="auto"/>
            </w:tcBorders>
            <w:noWrap/>
            <w:vAlign w:val="center"/>
          </w:tcPr>
          <w:p w:rsidR="00AC4991" w:rsidRPr="00363F20" w:rsidRDefault="00AC4991" w:rsidP="0022220F">
            <w:pPr>
              <w:spacing w:after="0" w:line="240" w:lineRule="auto"/>
              <w:rPr>
                <w:rFonts w:ascii="Times New Roman" w:hAnsi="Times New Roman" w:cs="Times New Roman"/>
                <w:sz w:val="18"/>
                <w:szCs w:val="18"/>
              </w:rPr>
            </w:pPr>
            <w:r w:rsidRPr="00363F20">
              <w:rPr>
                <w:rFonts w:ascii="Times New Roman" w:hAnsi="Times New Roman" w:cs="Times New Roman"/>
                <w:sz w:val="18"/>
                <w:szCs w:val="18"/>
              </w:rPr>
              <w:t>European Union (28 countries)</w:t>
            </w:r>
          </w:p>
        </w:tc>
        <w:tc>
          <w:tcPr>
            <w:tcW w:w="880"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18025.4</w:t>
            </w:r>
          </w:p>
        </w:tc>
        <w:tc>
          <w:tcPr>
            <w:tcW w:w="846"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18946.6</w:t>
            </w:r>
          </w:p>
        </w:tc>
        <w:tc>
          <w:tcPr>
            <w:tcW w:w="473"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5.1</w:t>
            </w:r>
          </w:p>
        </w:tc>
        <w:tc>
          <w:tcPr>
            <w:tcW w:w="756"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37923</w:t>
            </w:r>
          </w:p>
        </w:tc>
        <w:tc>
          <w:tcPr>
            <w:tcW w:w="756"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36575</w:t>
            </w:r>
          </w:p>
        </w:tc>
        <w:tc>
          <w:tcPr>
            <w:tcW w:w="578"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-3.6</w:t>
            </w:r>
          </w:p>
        </w:tc>
        <w:tc>
          <w:tcPr>
            <w:tcW w:w="801"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191300</w:t>
            </w:r>
          </w:p>
        </w:tc>
        <w:tc>
          <w:tcPr>
            <w:tcW w:w="801"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189136</w:t>
            </w:r>
          </w:p>
        </w:tc>
        <w:tc>
          <w:tcPr>
            <w:tcW w:w="599" w:type="dxa"/>
            <w:tcBorders>
              <w:top w:val="nil"/>
              <w:left w:val="nil"/>
              <w:bottom w:val="single" w:sz="4" w:space="0" w:color="auto"/>
              <w:right w:val="single" w:sz="4" w:space="0" w:color="auto"/>
            </w:tcBorders>
            <w:noWrap/>
            <w:vAlign w:val="center"/>
          </w:tcPr>
          <w:p w:rsidR="00AC4991" w:rsidRPr="00363F20" w:rsidRDefault="00AC4991"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-1.1</w:t>
            </w:r>
          </w:p>
        </w:tc>
      </w:tr>
    </w:tbl>
    <w:p w:rsidR="00AC4991" w:rsidRPr="00E411D5" w:rsidRDefault="00AC4991" w:rsidP="00AB5AE4">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(S</w:t>
      </w:r>
      <w:r>
        <w:rPr>
          <w:rFonts w:ascii="Times New Roman" w:hAnsi="Times New Roman" w:cs="Times New Roman"/>
          <w:sz w:val="16"/>
          <w:szCs w:val="16"/>
        </w:rPr>
        <w:t>ource</w:t>
      </w:r>
      <w:r w:rsidRPr="00E411D5">
        <w:rPr>
          <w:rFonts w:ascii="Times New Roman" w:hAnsi="Times New Roman" w:cs="Times New Roman"/>
          <w:sz w:val="16"/>
          <w:szCs w:val="16"/>
        </w:rPr>
        <w:t xml:space="preserve">: </w:t>
      </w:r>
      <w:r>
        <w:rPr>
          <w:rFonts w:ascii="Times New Roman" w:hAnsi="Times New Roman" w:cs="Times New Roman"/>
          <w:sz w:val="16"/>
          <w:szCs w:val="16"/>
        </w:rPr>
        <w:t>own computation</w:t>
      </w:r>
      <w:r w:rsidRPr="00E411D5">
        <w:rPr>
          <w:rFonts w:ascii="Times New Roman" w:hAnsi="Times New Roman" w:cs="Times New Roman"/>
          <w:sz w:val="16"/>
          <w:szCs w:val="16"/>
        </w:rPr>
        <w:t xml:space="preserve"> Eurostat, 2017)</w:t>
      </w:r>
    </w:p>
    <w:p w:rsidR="00AC4991" w:rsidRPr="009732B9" w:rsidRDefault="00AC4991" w:rsidP="00AB5AE4">
      <w:pPr>
        <w:spacing w:after="0" w:line="240" w:lineRule="auto"/>
        <w:jc w:val="center"/>
        <w:rPr>
          <w:rFonts w:ascii="Times New Roman" w:hAnsi="Times New Roman" w:cs="Times New Roman"/>
        </w:rPr>
      </w:pPr>
    </w:p>
    <w:p w:rsidR="00AC4991" w:rsidRPr="000C3F4D" w:rsidRDefault="00AC4991" w:rsidP="00006EFD">
      <w:pPr>
        <w:spacing w:after="0" w:line="240" w:lineRule="auto"/>
        <w:jc w:val="both"/>
        <w:rPr>
          <w:rFonts w:ascii="Times New Roman" w:hAnsi="Times New Roman" w:cs="Times New Roman"/>
          <w:sz w:val="20"/>
          <w:szCs w:val="20"/>
        </w:rPr>
      </w:pPr>
      <w:r w:rsidRPr="000C3F4D">
        <w:rPr>
          <w:rFonts w:ascii="Times New Roman" w:hAnsi="Times New Roman" w:cs="Times New Roman"/>
          <w:sz w:val="20"/>
          <w:szCs w:val="20"/>
        </w:rPr>
        <w:t>The results obtained from market research and public opinion polling business (Turnover or gross premiums written) and allocated resources (Number of persons employed) are not evenly distributed among the old and new EU members. Thus, according to figure no. 2 in 2015, the old EU member states had 82.7% of total employees and 89.1% of total Turnover or gross premiums written, while at EU-15 level 17.3% of employees were employed and the share of total turnover was only 10.9%.</w:t>
      </w:r>
    </w:p>
    <w:p w:rsidR="00AC4991" w:rsidRPr="00E411D5" w:rsidRDefault="00AC4991" w:rsidP="00006EFD">
      <w:pPr>
        <w:spacing w:after="0" w:line="240" w:lineRule="auto"/>
        <w:jc w:val="both"/>
        <w:rPr>
          <w:rFonts w:ascii="Times New Roman" w:hAnsi="Times New Roman" w:cs="Times New Roman"/>
          <w:b/>
          <w:bCs/>
          <w:sz w:val="20"/>
          <w:szCs w:val="20"/>
        </w:rPr>
      </w:pPr>
    </w:p>
    <w:p w:rsidR="00AC4991" w:rsidRPr="000C3F4D" w:rsidRDefault="00AC4991" w:rsidP="00531D02">
      <w:pPr>
        <w:spacing w:after="0" w:line="240" w:lineRule="auto"/>
        <w:jc w:val="center"/>
        <w:rPr>
          <w:rFonts w:ascii="Times New Roman" w:hAnsi="Times New Roman" w:cs="Times New Roman"/>
          <w:b/>
          <w:bCs/>
          <w:sz w:val="20"/>
          <w:szCs w:val="20"/>
        </w:rPr>
      </w:pPr>
      <w:r w:rsidRPr="00484925">
        <w:rPr>
          <w:rFonts w:ascii="Times New Roman" w:hAnsi="Times New Roman" w:cs="Times New Roman"/>
          <w:noProof/>
        </w:rPr>
        <w:object w:dxaOrig="7099" w:dyaOrig="2667">
          <v:shape id="_x0000_i1026" type="#_x0000_t75" style="width:366pt;height:157.5pt" o:ole="">
            <v:imagedata r:id="rId9" o:title="" croptop="-2949f" cropbottom="-2482f" cropleft="-2077f" cropright="-37f"/>
            <o:lock v:ext="edit" aspectratio="f"/>
          </v:shape>
          <o:OLEObject Type="Embed" ProgID="Excel.Chart.8" ShapeID="_x0000_i1026" DrawAspect="Content" ObjectID="_1561607702" r:id="rId10"/>
        </w:object>
      </w:r>
      <w:r w:rsidRPr="000C3F4D">
        <w:rPr>
          <w:rFonts w:ascii="Times New Roman" w:hAnsi="Times New Roman" w:cs="Times New Roman"/>
          <w:b/>
          <w:bCs/>
          <w:sz w:val="20"/>
          <w:szCs w:val="20"/>
        </w:rPr>
        <w:t>Figure</w:t>
      </w:r>
      <w:r>
        <w:rPr>
          <w:rFonts w:ascii="Times New Roman" w:hAnsi="Times New Roman" w:cs="Times New Roman"/>
          <w:b/>
          <w:bCs/>
          <w:sz w:val="20"/>
          <w:szCs w:val="20"/>
        </w:rPr>
        <w:t xml:space="preserve"> </w:t>
      </w:r>
      <w:r w:rsidRPr="000C3F4D">
        <w:rPr>
          <w:rFonts w:ascii="Times New Roman" w:hAnsi="Times New Roman" w:cs="Times New Roman"/>
          <w:b/>
          <w:bCs/>
          <w:sz w:val="20"/>
          <w:szCs w:val="20"/>
        </w:rPr>
        <w:t>2.</w:t>
      </w:r>
      <w:r>
        <w:rPr>
          <w:rFonts w:ascii="Times New Roman" w:hAnsi="Times New Roman" w:cs="Times New Roman"/>
          <w:b/>
          <w:bCs/>
          <w:sz w:val="20"/>
          <w:szCs w:val="20"/>
        </w:rPr>
        <w:t xml:space="preserve"> </w:t>
      </w:r>
      <w:r w:rsidRPr="000C3F4D">
        <w:rPr>
          <w:rFonts w:ascii="Times New Roman" w:hAnsi="Times New Roman" w:cs="Times New Roman"/>
          <w:b/>
          <w:bCs/>
          <w:sz w:val="20"/>
          <w:szCs w:val="20"/>
        </w:rPr>
        <w:t>Structure of Turnover or gross premiums written, Number of enterprises and Number of persons employed in</w:t>
      </w:r>
      <w:r>
        <w:rPr>
          <w:rFonts w:ascii="Times New Roman" w:hAnsi="Times New Roman" w:cs="Times New Roman"/>
          <w:b/>
          <w:bCs/>
          <w:sz w:val="20"/>
          <w:szCs w:val="20"/>
        </w:rPr>
        <w:t xml:space="preserve"> </w:t>
      </w:r>
      <w:r w:rsidRPr="000C3F4D">
        <w:rPr>
          <w:rFonts w:ascii="Times New Roman" w:hAnsi="Times New Roman" w:cs="Times New Roman"/>
          <w:b/>
          <w:bCs/>
          <w:sz w:val="20"/>
          <w:szCs w:val="20"/>
        </w:rPr>
        <w:t xml:space="preserve">market research and public opinion polling </w:t>
      </w:r>
      <w:r>
        <w:rPr>
          <w:rFonts w:ascii="Times New Roman" w:hAnsi="Times New Roman" w:cs="Times New Roman"/>
          <w:b/>
          <w:bCs/>
          <w:sz w:val="20"/>
          <w:szCs w:val="20"/>
        </w:rPr>
        <w:t xml:space="preserve">business at old and new </w:t>
      </w:r>
      <w:r w:rsidRPr="000C3F4D">
        <w:rPr>
          <w:rFonts w:ascii="Times New Roman" w:hAnsi="Times New Roman" w:cs="Times New Roman"/>
          <w:b/>
          <w:bCs/>
          <w:sz w:val="20"/>
          <w:szCs w:val="20"/>
        </w:rPr>
        <w:t>UE</w:t>
      </w:r>
      <w:r>
        <w:rPr>
          <w:rFonts w:ascii="Times New Roman" w:hAnsi="Times New Roman" w:cs="Times New Roman"/>
          <w:b/>
          <w:bCs/>
          <w:sz w:val="20"/>
          <w:szCs w:val="20"/>
        </w:rPr>
        <w:t xml:space="preserve"> states level</w:t>
      </w:r>
      <w:r w:rsidRPr="000C3F4D">
        <w:rPr>
          <w:rFonts w:ascii="Times New Roman" w:hAnsi="Times New Roman" w:cs="Times New Roman"/>
          <w:b/>
          <w:bCs/>
          <w:sz w:val="20"/>
          <w:szCs w:val="20"/>
        </w:rPr>
        <w:t xml:space="preserve"> (%)</w:t>
      </w:r>
    </w:p>
    <w:p w:rsidR="00AC4991" w:rsidRDefault="00AC4991" w:rsidP="00531D02">
      <w:pPr>
        <w:spacing w:after="0" w:line="240" w:lineRule="auto"/>
        <w:jc w:val="center"/>
        <w:rPr>
          <w:rFonts w:ascii="Times New Roman" w:hAnsi="Times New Roman" w:cs="Times New Roman"/>
          <w:sz w:val="16"/>
          <w:szCs w:val="16"/>
        </w:rPr>
      </w:pPr>
      <w:r w:rsidRPr="000C3F4D">
        <w:rPr>
          <w:rFonts w:ascii="Times New Roman" w:hAnsi="Times New Roman" w:cs="Times New Roman"/>
          <w:sz w:val="16"/>
          <w:szCs w:val="16"/>
        </w:rPr>
        <w:t>(Source: own computation from Eurostat, 2017)</w:t>
      </w:r>
    </w:p>
    <w:p w:rsidR="00AC4991" w:rsidRPr="009732B9" w:rsidRDefault="00AC4991" w:rsidP="00531D02">
      <w:pPr>
        <w:spacing w:after="0" w:line="240" w:lineRule="auto"/>
        <w:jc w:val="center"/>
        <w:rPr>
          <w:rFonts w:ascii="Times New Roman" w:hAnsi="Times New Roman" w:cs="Times New Roman"/>
        </w:rPr>
      </w:pPr>
    </w:p>
    <w:p w:rsidR="00AC4991" w:rsidRPr="00E411D5" w:rsidRDefault="00AC4991" w:rsidP="0063147D">
      <w:pPr>
        <w:spacing w:after="0" w:line="240" w:lineRule="auto"/>
        <w:jc w:val="both"/>
        <w:rPr>
          <w:rFonts w:ascii="Times New Roman" w:hAnsi="Times New Roman" w:cs="Times New Roman"/>
          <w:sz w:val="20"/>
          <w:szCs w:val="20"/>
        </w:rPr>
      </w:pPr>
      <w:r w:rsidRPr="000C3F4D">
        <w:rPr>
          <w:rFonts w:ascii="Times New Roman" w:hAnsi="Times New Roman" w:cs="Times New Roman"/>
          <w:sz w:val="20"/>
          <w:szCs w:val="20"/>
        </w:rPr>
        <w:t>By EU countries, the largest market for research (market research and public opinion polling) in terms of Turnover or gross premiums written, belongs to the United Kingdom with a value of nearly EUR 5.5 billion, followed by other old Member States, such as: Germany, France, Netherlands, Italy, Spain (but with values below 50% of the level registered in the United Kingdom). At the level of the new EU member states, the size of the market is much lower, the largest market - the 8th in the EU-28 ranking, being owned by Poland (almost 0.6 billion Euros). (Figure 3)</w:t>
      </w:r>
    </w:p>
    <w:p w:rsidR="00AC4991" w:rsidRPr="00E411D5" w:rsidRDefault="00AC4991" w:rsidP="0063147D">
      <w:pPr>
        <w:spacing w:after="0" w:line="240" w:lineRule="auto"/>
        <w:jc w:val="both"/>
        <w:rPr>
          <w:rFonts w:ascii="Times New Roman" w:hAnsi="Times New Roman" w:cs="Times New Roman"/>
          <w:sz w:val="20"/>
          <w:szCs w:val="20"/>
        </w:rPr>
      </w:pPr>
    </w:p>
    <w:p w:rsidR="00AC4991" w:rsidRPr="00E411D5" w:rsidRDefault="00AC4991" w:rsidP="0063147D">
      <w:pPr>
        <w:spacing w:after="0" w:line="240" w:lineRule="auto"/>
        <w:jc w:val="both"/>
        <w:rPr>
          <w:rFonts w:ascii="Times New Roman" w:hAnsi="Times New Roman" w:cs="Times New Roman"/>
          <w:sz w:val="20"/>
          <w:szCs w:val="20"/>
        </w:rPr>
      </w:pPr>
      <w:r w:rsidRPr="00484925">
        <w:rPr>
          <w:rFonts w:ascii="Times New Roman" w:hAnsi="Times New Roman" w:cs="Times New Roman"/>
          <w:noProof/>
          <w:sz w:val="20"/>
          <w:szCs w:val="20"/>
        </w:rPr>
        <w:object w:dxaOrig="6454" w:dyaOrig="3038">
          <v:shape id="_x0000_i1027" type="#_x0000_t75" style="width:330pt;height:168pt" o:ole="">
            <v:imagedata r:id="rId11" o:title="" croptop="-1510f" cropbottom="-5285f" cropleft="-1076f" cropright="-416f"/>
            <o:lock v:ext="edit" aspectratio="f"/>
          </v:shape>
          <o:OLEObject Type="Embed" ProgID="Excel.Chart.8" ShapeID="_x0000_i1027" DrawAspect="Content" ObjectID="_1561607703" r:id="rId12"/>
        </w:object>
      </w:r>
    </w:p>
    <w:p w:rsidR="00AC4991" w:rsidRPr="006B3589" w:rsidRDefault="00AC4991" w:rsidP="00A8621E">
      <w:pPr>
        <w:spacing w:after="0" w:line="240" w:lineRule="auto"/>
        <w:jc w:val="center"/>
        <w:rPr>
          <w:rFonts w:ascii="Times New Roman" w:hAnsi="Times New Roman" w:cs="Times New Roman"/>
          <w:b/>
          <w:bCs/>
          <w:sz w:val="20"/>
          <w:szCs w:val="20"/>
        </w:rPr>
      </w:pPr>
      <w:r w:rsidRPr="006B3589">
        <w:rPr>
          <w:rFonts w:ascii="Times New Roman" w:hAnsi="Times New Roman" w:cs="Times New Roman"/>
          <w:b/>
          <w:bCs/>
          <w:sz w:val="20"/>
          <w:szCs w:val="20"/>
        </w:rPr>
        <w:t>Figure3. Turnover or gross premiums written made in market research and public opinion polling</w:t>
      </w:r>
      <w:r>
        <w:rPr>
          <w:rFonts w:ascii="Times New Roman" w:hAnsi="Times New Roman" w:cs="Times New Roman"/>
          <w:b/>
          <w:bCs/>
          <w:sz w:val="20"/>
          <w:szCs w:val="20"/>
        </w:rPr>
        <w:t xml:space="preserve"> </w:t>
      </w:r>
      <w:r w:rsidRPr="006B3589">
        <w:rPr>
          <w:rFonts w:ascii="Times New Roman" w:hAnsi="Times New Roman" w:cs="Times New Roman"/>
          <w:b/>
          <w:bCs/>
          <w:sz w:val="20"/>
          <w:szCs w:val="20"/>
        </w:rPr>
        <w:t>business by UE countries in 2015 (millions of €.)</w:t>
      </w:r>
    </w:p>
    <w:p w:rsidR="00AC4991" w:rsidRPr="006B3589" w:rsidRDefault="00AC4991" w:rsidP="001F5946">
      <w:pPr>
        <w:spacing w:after="0" w:line="240" w:lineRule="auto"/>
        <w:jc w:val="center"/>
        <w:rPr>
          <w:rFonts w:ascii="Times New Roman" w:hAnsi="Times New Roman" w:cs="Times New Roman"/>
          <w:sz w:val="16"/>
          <w:szCs w:val="16"/>
        </w:rPr>
      </w:pPr>
      <w:r w:rsidRPr="006B3589">
        <w:rPr>
          <w:rFonts w:ascii="Times New Roman" w:hAnsi="Times New Roman" w:cs="Times New Roman"/>
          <w:sz w:val="16"/>
          <w:szCs w:val="16"/>
        </w:rPr>
        <w:t>(Source: Eurostat, 2017)</w:t>
      </w:r>
    </w:p>
    <w:p w:rsidR="00AC4991" w:rsidRPr="006B3589" w:rsidRDefault="00AC4991" w:rsidP="001F5946">
      <w:pPr>
        <w:spacing w:after="0" w:line="240" w:lineRule="auto"/>
        <w:jc w:val="center"/>
        <w:rPr>
          <w:rFonts w:ascii="Times New Roman" w:hAnsi="Times New Roman" w:cs="Times New Roman"/>
          <w:sz w:val="16"/>
          <w:szCs w:val="16"/>
        </w:rPr>
      </w:pPr>
      <w:r w:rsidRPr="006B3589">
        <w:rPr>
          <w:rFonts w:ascii="Times New Roman" w:hAnsi="Times New Roman" w:cs="Times New Roman"/>
          <w:sz w:val="16"/>
          <w:szCs w:val="16"/>
        </w:rPr>
        <w:t>*2014 data</w:t>
      </w:r>
    </w:p>
    <w:p w:rsidR="00AC4991" w:rsidRPr="00E411D5" w:rsidRDefault="00AC4991" w:rsidP="0063147D">
      <w:pPr>
        <w:spacing w:after="0" w:line="240" w:lineRule="auto"/>
        <w:jc w:val="both"/>
        <w:rPr>
          <w:rFonts w:ascii="Times New Roman" w:hAnsi="Times New Roman" w:cs="Times New Roman"/>
          <w:sz w:val="20"/>
          <w:szCs w:val="20"/>
        </w:rPr>
      </w:pPr>
    </w:p>
    <w:p w:rsidR="00AC4991" w:rsidRPr="00E411D5" w:rsidRDefault="00AC4991" w:rsidP="0063147D">
      <w:pPr>
        <w:spacing w:after="0" w:line="240" w:lineRule="auto"/>
        <w:jc w:val="both"/>
        <w:rPr>
          <w:rFonts w:ascii="Times New Roman" w:hAnsi="Times New Roman" w:cs="Times New Roman"/>
          <w:sz w:val="20"/>
          <w:szCs w:val="20"/>
        </w:rPr>
      </w:pPr>
      <w:r w:rsidRPr="00E94202">
        <w:rPr>
          <w:rFonts w:ascii="Times New Roman" w:hAnsi="Times New Roman" w:cs="Times New Roman"/>
          <w:sz w:val="20"/>
          <w:szCs w:val="20"/>
        </w:rPr>
        <w:t xml:space="preserve">Over time, the evolution of the markets in the different EU countries was not the same. Thus, between 2010 and 2015, changes in the </w:t>
      </w:r>
      <w:r>
        <w:rPr>
          <w:rFonts w:ascii="Times New Roman" w:hAnsi="Times New Roman" w:cs="Times New Roman"/>
          <w:sz w:val="20"/>
          <w:szCs w:val="20"/>
        </w:rPr>
        <w:t>T</w:t>
      </w:r>
      <w:r w:rsidRPr="00E94202">
        <w:rPr>
          <w:rFonts w:ascii="Times New Roman" w:hAnsi="Times New Roman" w:cs="Times New Roman"/>
          <w:sz w:val="20"/>
          <w:szCs w:val="20"/>
        </w:rPr>
        <w:t xml:space="preserve">urnover or gross premiums written indicator ranged very broad from increases of over 100% (in Ireland, where we are considering the 2010-2014 period), </w:t>
      </w:r>
      <w:r>
        <w:rPr>
          <w:rFonts w:ascii="Times New Roman" w:hAnsi="Times New Roman" w:cs="Times New Roman"/>
          <w:sz w:val="20"/>
          <w:szCs w:val="20"/>
        </w:rPr>
        <w:t>t</w:t>
      </w:r>
      <w:r w:rsidRPr="00E94202">
        <w:rPr>
          <w:rFonts w:ascii="Times New Roman" w:hAnsi="Times New Roman" w:cs="Times New Roman"/>
          <w:sz w:val="20"/>
          <w:szCs w:val="20"/>
        </w:rPr>
        <w:t>o decreases by more than 60% (for Malta). (Figure 4)</w:t>
      </w:r>
    </w:p>
    <w:p w:rsidR="00AC4991" w:rsidRPr="00E411D5" w:rsidRDefault="00AC4991" w:rsidP="00BB2DAC">
      <w:pPr>
        <w:spacing w:after="0" w:line="240" w:lineRule="auto"/>
        <w:jc w:val="center"/>
        <w:rPr>
          <w:rFonts w:ascii="Times New Roman" w:hAnsi="Times New Roman" w:cs="Times New Roman"/>
          <w:sz w:val="16"/>
          <w:szCs w:val="16"/>
        </w:rPr>
      </w:pPr>
    </w:p>
    <w:p w:rsidR="00AC4991" w:rsidRPr="00E411D5" w:rsidRDefault="00AC4991" w:rsidP="00BB2DAC">
      <w:pPr>
        <w:spacing w:after="0" w:line="240" w:lineRule="auto"/>
        <w:jc w:val="center"/>
        <w:rPr>
          <w:rFonts w:ascii="Times New Roman" w:hAnsi="Times New Roman" w:cs="Times New Roman"/>
          <w:b/>
          <w:bCs/>
          <w:sz w:val="20"/>
          <w:szCs w:val="20"/>
        </w:rPr>
      </w:pPr>
      <w:r w:rsidRPr="00484925">
        <w:rPr>
          <w:rFonts w:ascii="Times New Roman" w:hAnsi="Times New Roman" w:cs="Times New Roman"/>
          <w:b/>
          <w:bCs/>
          <w:noProof/>
          <w:sz w:val="20"/>
          <w:szCs w:val="20"/>
        </w:rPr>
        <w:object w:dxaOrig="6063" w:dyaOrig="2891">
          <v:shape id="_x0000_i1028" type="#_x0000_t75" style="width:319.5pt;height:159.75pt" o:ole="">
            <v:imagedata r:id="rId13" o:title="" croptop="-1723f" cropbottom="-5781f" cropleft="-1719f" cropright="-1827f"/>
            <o:lock v:ext="edit" aspectratio="f"/>
          </v:shape>
          <o:OLEObject Type="Embed" ProgID="Excel.Chart.8" ShapeID="_x0000_i1028" DrawAspect="Content" ObjectID="_1561607704" r:id="rId14"/>
        </w:object>
      </w:r>
    </w:p>
    <w:p w:rsidR="00AC4991" w:rsidRPr="00E411D5" w:rsidRDefault="00AC4991" w:rsidP="00BB2DAC">
      <w:pPr>
        <w:spacing w:after="0" w:line="240" w:lineRule="auto"/>
        <w:jc w:val="center"/>
        <w:rPr>
          <w:rFonts w:ascii="Times New Roman" w:hAnsi="Times New Roman" w:cs="Times New Roman"/>
          <w:b/>
          <w:bCs/>
          <w:sz w:val="20"/>
          <w:szCs w:val="20"/>
        </w:rPr>
      </w:pPr>
      <w:r w:rsidRPr="000E2C4D">
        <w:rPr>
          <w:rFonts w:ascii="Times New Roman" w:hAnsi="Times New Roman" w:cs="Times New Roman"/>
          <w:b/>
          <w:bCs/>
          <w:sz w:val="20"/>
          <w:szCs w:val="20"/>
        </w:rPr>
        <w:t xml:space="preserve">Figure 4. Percentage change in Turnover or gross premiums written </w:t>
      </w:r>
      <w:r>
        <w:rPr>
          <w:rFonts w:ascii="Times New Roman" w:hAnsi="Times New Roman" w:cs="Times New Roman"/>
          <w:b/>
          <w:bCs/>
          <w:sz w:val="20"/>
          <w:szCs w:val="20"/>
        </w:rPr>
        <w:t>in</w:t>
      </w:r>
      <w:r w:rsidRPr="000E2C4D">
        <w:rPr>
          <w:rFonts w:ascii="Times New Roman" w:hAnsi="Times New Roman" w:cs="Times New Roman"/>
          <w:b/>
          <w:bCs/>
          <w:sz w:val="20"/>
          <w:szCs w:val="20"/>
        </w:rPr>
        <w:t xml:space="preserve"> market research and polling </w:t>
      </w:r>
      <w:r>
        <w:rPr>
          <w:rFonts w:ascii="Times New Roman" w:hAnsi="Times New Roman" w:cs="Times New Roman"/>
          <w:b/>
          <w:bCs/>
          <w:sz w:val="20"/>
          <w:szCs w:val="20"/>
        </w:rPr>
        <w:t xml:space="preserve">business </w:t>
      </w:r>
      <w:r w:rsidRPr="000E2C4D">
        <w:rPr>
          <w:rFonts w:ascii="Times New Roman" w:hAnsi="Times New Roman" w:cs="Times New Roman"/>
          <w:b/>
          <w:bCs/>
          <w:sz w:val="20"/>
          <w:szCs w:val="20"/>
        </w:rPr>
        <w:t>in EU-28 countries in 2015 compared to 2010 (+/- in</w:t>
      </w:r>
      <w:r>
        <w:rPr>
          <w:rFonts w:ascii="Times New Roman" w:hAnsi="Times New Roman" w:cs="Times New Roman"/>
          <w:b/>
          <w:bCs/>
          <w:sz w:val="20"/>
          <w:szCs w:val="20"/>
        </w:rPr>
        <w:t xml:space="preserve"> </w:t>
      </w:r>
      <w:r w:rsidRPr="000E2C4D">
        <w:rPr>
          <w:rFonts w:ascii="Times New Roman" w:hAnsi="Times New Roman" w:cs="Times New Roman"/>
          <w:b/>
          <w:bCs/>
          <w:sz w:val="20"/>
          <w:szCs w:val="20"/>
        </w:rPr>
        <w:t>% as compared to 2010)</w:t>
      </w:r>
    </w:p>
    <w:p w:rsidR="00AC4991" w:rsidRPr="00E411D5" w:rsidRDefault="00AC4991" w:rsidP="00BB2DAC">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(Source: </w:t>
      </w:r>
      <w:r>
        <w:rPr>
          <w:rFonts w:ascii="Times New Roman" w:hAnsi="Times New Roman" w:cs="Times New Roman"/>
          <w:sz w:val="16"/>
          <w:szCs w:val="16"/>
        </w:rPr>
        <w:t>own computing</w:t>
      </w:r>
      <w:r w:rsidRPr="00E411D5">
        <w:rPr>
          <w:rFonts w:ascii="Times New Roman" w:hAnsi="Times New Roman" w:cs="Times New Roman"/>
          <w:sz w:val="16"/>
          <w:szCs w:val="16"/>
        </w:rPr>
        <w:t xml:space="preserve"> from Eurostat, 2017)</w:t>
      </w:r>
    </w:p>
    <w:p w:rsidR="00AC4991" w:rsidRPr="00E411D5" w:rsidRDefault="00AC4991" w:rsidP="00BB2DAC">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 2014 </w:t>
      </w:r>
      <w:r>
        <w:rPr>
          <w:rFonts w:ascii="Times New Roman" w:hAnsi="Times New Roman" w:cs="Times New Roman"/>
          <w:sz w:val="16"/>
          <w:szCs w:val="16"/>
        </w:rPr>
        <w:t>compared to</w:t>
      </w:r>
      <w:r w:rsidRPr="00E411D5">
        <w:rPr>
          <w:rFonts w:ascii="Times New Roman" w:hAnsi="Times New Roman" w:cs="Times New Roman"/>
          <w:sz w:val="16"/>
          <w:szCs w:val="16"/>
        </w:rPr>
        <w:t xml:space="preserve"> 2010</w:t>
      </w:r>
    </w:p>
    <w:p w:rsidR="00AC4991" w:rsidRPr="00E411D5" w:rsidRDefault="00AC4991" w:rsidP="00BB2DAC">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 2015 </w:t>
      </w:r>
      <w:r>
        <w:rPr>
          <w:rFonts w:ascii="Times New Roman" w:hAnsi="Times New Roman" w:cs="Times New Roman"/>
          <w:sz w:val="16"/>
          <w:szCs w:val="16"/>
        </w:rPr>
        <w:t>compared to</w:t>
      </w:r>
      <w:r w:rsidRPr="00E411D5">
        <w:rPr>
          <w:rFonts w:ascii="Times New Roman" w:hAnsi="Times New Roman" w:cs="Times New Roman"/>
          <w:sz w:val="16"/>
          <w:szCs w:val="16"/>
        </w:rPr>
        <w:t xml:space="preserve"> 2011</w:t>
      </w:r>
    </w:p>
    <w:p w:rsidR="00AC4991" w:rsidRPr="00E411D5" w:rsidRDefault="00AC4991" w:rsidP="00BB2DAC">
      <w:pPr>
        <w:spacing w:after="0" w:line="240" w:lineRule="auto"/>
        <w:jc w:val="both"/>
        <w:rPr>
          <w:rFonts w:ascii="Times New Roman" w:hAnsi="Times New Roman" w:cs="Times New Roman"/>
          <w:sz w:val="20"/>
          <w:szCs w:val="20"/>
        </w:rPr>
      </w:pPr>
    </w:p>
    <w:p w:rsidR="00AC4991" w:rsidRPr="00E411D5" w:rsidRDefault="00AC4991" w:rsidP="00BB2DAC">
      <w:pPr>
        <w:spacing w:after="0" w:line="240" w:lineRule="auto"/>
        <w:jc w:val="both"/>
        <w:rPr>
          <w:rFonts w:ascii="Times New Roman" w:hAnsi="Times New Roman" w:cs="Times New Roman"/>
          <w:sz w:val="20"/>
          <w:szCs w:val="20"/>
        </w:rPr>
      </w:pPr>
      <w:r w:rsidRPr="000E2C4D">
        <w:rPr>
          <w:rFonts w:ascii="Times New Roman" w:hAnsi="Times New Roman" w:cs="Times New Roman"/>
          <w:sz w:val="20"/>
          <w:szCs w:val="20"/>
        </w:rPr>
        <w:t xml:space="preserve">From the perspective of Number of enterprises </w:t>
      </w:r>
      <w:r>
        <w:rPr>
          <w:rFonts w:ascii="Times New Roman" w:hAnsi="Times New Roman" w:cs="Times New Roman"/>
          <w:sz w:val="20"/>
          <w:szCs w:val="20"/>
        </w:rPr>
        <w:t>in</w:t>
      </w:r>
      <w:r w:rsidRPr="000E2C4D">
        <w:rPr>
          <w:rFonts w:ascii="Times New Roman" w:hAnsi="Times New Roman" w:cs="Times New Roman"/>
          <w:sz w:val="20"/>
          <w:szCs w:val="20"/>
        </w:rPr>
        <w:t xml:space="preserve"> market research and public opinion polling</w:t>
      </w:r>
      <w:r>
        <w:rPr>
          <w:rFonts w:ascii="Times New Roman" w:hAnsi="Times New Roman" w:cs="Times New Roman"/>
          <w:sz w:val="20"/>
          <w:szCs w:val="20"/>
        </w:rPr>
        <w:t xml:space="preserve"> business</w:t>
      </w:r>
      <w:r w:rsidRPr="000E2C4D">
        <w:rPr>
          <w:rFonts w:ascii="Times New Roman" w:hAnsi="Times New Roman" w:cs="Times New Roman"/>
          <w:sz w:val="20"/>
          <w:szCs w:val="20"/>
        </w:rPr>
        <w:t>, the EU countries with the largest number of operators in 2014 are: Netherlands (with more than 6 thousand organizations), followed by: France, Italy, Spain, United Kingdom. (Figure 5)</w:t>
      </w:r>
    </w:p>
    <w:p w:rsidR="00AC4991" w:rsidRPr="00E411D5" w:rsidRDefault="00AC4991" w:rsidP="00BB2DAC">
      <w:pPr>
        <w:spacing w:after="0" w:line="240" w:lineRule="auto"/>
        <w:jc w:val="both"/>
        <w:rPr>
          <w:rFonts w:ascii="Times New Roman" w:hAnsi="Times New Roman" w:cs="Times New Roman"/>
          <w:sz w:val="20"/>
          <w:szCs w:val="20"/>
        </w:rPr>
      </w:pPr>
    </w:p>
    <w:p w:rsidR="00AC4991" w:rsidRPr="00E411D5" w:rsidRDefault="00AC4991" w:rsidP="00DE08A0">
      <w:pPr>
        <w:spacing w:after="0" w:line="240" w:lineRule="auto"/>
        <w:jc w:val="center"/>
        <w:rPr>
          <w:rFonts w:ascii="Times New Roman" w:hAnsi="Times New Roman" w:cs="Times New Roman"/>
          <w:sz w:val="20"/>
          <w:szCs w:val="20"/>
        </w:rPr>
      </w:pPr>
      <w:r w:rsidRPr="00484925">
        <w:rPr>
          <w:rFonts w:ascii="Times New Roman" w:hAnsi="Times New Roman" w:cs="Times New Roman"/>
          <w:noProof/>
          <w:sz w:val="20"/>
          <w:szCs w:val="20"/>
        </w:rPr>
        <w:object w:dxaOrig="6504" w:dyaOrig="3179">
          <v:shape id="_x0000_i1029" type="#_x0000_t75" style="width:342.75pt;height:181.5pt" o:ole="">
            <v:imagedata r:id="rId15" o:title="" croptop="-1443f" cropbottom="-5525f" cropleft="-1914f" cropright="-1542f"/>
            <o:lock v:ext="edit" aspectratio="f"/>
          </v:shape>
          <o:OLEObject Type="Embed" ProgID="Excel.Chart.8" ShapeID="_x0000_i1029" DrawAspect="Content" ObjectID="_1561607705" r:id="rId16"/>
        </w:object>
      </w:r>
    </w:p>
    <w:p w:rsidR="00AC4991" w:rsidRPr="00E411D5" w:rsidRDefault="00AC4991" w:rsidP="00DE08A0">
      <w:pPr>
        <w:spacing w:after="0" w:line="240" w:lineRule="auto"/>
        <w:jc w:val="center"/>
        <w:rPr>
          <w:rFonts w:ascii="Times New Roman" w:hAnsi="Times New Roman" w:cs="Times New Roman"/>
          <w:b/>
          <w:bCs/>
          <w:sz w:val="20"/>
          <w:szCs w:val="20"/>
        </w:rPr>
      </w:pPr>
      <w:r w:rsidRPr="000E2C4D">
        <w:rPr>
          <w:rFonts w:ascii="Times New Roman" w:hAnsi="Times New Roman" w:cs="Times New Roman"/>
          <w:b/>
          <w:bCs/>
          <w:sz w:val="20"/>
          <w:szCs w:val="20"/>
        </w:rPr>
        <w:t xml:space="preserve">Figure 5. Number of enterprises </w:t>
      </w:r>
      <w:r>
        <w:rPr>
          <w:rFonts w:ascii="Times New Roman" w:hAnsi="Times New Roman" w:cs="Times New Roman"/>
          <w:b/>
          <w:bCs/>
          <w:sz w:val="20"/>
          <w:szCs w:val="20"/>
        </w:rPr>
        <w:t>in</w:t>
      </w:r>
      <w:r w:rsidRPr="000E2C4D">
        <w:rPr>
          <w:rFonts w:ascii="Times New Roman" w:hAnsi="Times New Roman" w:cs="Times New Roman"/>
          <w:b/>
          <w:bCs/>
          <w:sz w:val="20"/>
          <w:szCs w:val="20"/>
        </w:rPr>
        <w:t xml:space="preserve"> market research and public opinion polling </w:t>
      </w:r>
      <w:r>
        <w:rPr>
          <w:rFonts w:ascii="Times New Roman" w:hAnsi="Times New Roman" w:cs="Times New Roman"/>
          <w:b/>
          <w:bCs/>
          <w:sz w:val="20"/>
          <w:szCs w:val="20"/>
        </w:rPr>
        <w:t xml:space="preserve">business </w:t>
      </w:r>
      <w:r w:rsidRPr="000E2C4D">
        <w:rPr>
          <w:rFonts w:ascii="Times New Roman" w:hAnsi="Times New Roman" w:cs="Times New Roman"/>
          <w:b/>
          <w:bCs/>
          <w:sz w:val="20"/>
          <w:szCs w:val="20"/>
        </w:rPr>
        <w:t>from EU-28 countries in 2014</w:t>
      </w:r>
    </w:p>
    <w:p w:rsidR="00AC4991" w:rsidRPr="00E411D5" w:rsidRDefault="00AC4991" w:rsidP="00DE08A0">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(Source: Eurostat, 2017)</w:t>
      </w:r>
    </w:p>
    <w:p w:rsidR="00AC4991" w:rsidRPr="00E411D5" w:rsidRDefault="00AC4991" w:rsidP="00DE08A0">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No</w:t>
      </w:r>
      <w:r>
        <w:rPr>
          <w:rFonts w:ascii="Times New Roman" w:hAnsi="Times New Roman" w:cs="Times New Roman"/>
          <w:sz w:val="16"/>
          <w:szCs w:val="16"/>
        </w:rPr>
        <w:t>te</w:t>
      </w:r>
      <w:r w:rsidRPr="00E411D5">
        <w:rPr>
          <w:rFonts w:ascii="Times New Roman" w:hAnsi="Times New Roman" w:cs="Times New Roman"/>
          <w:sz w:val="16"/>
          <w:szCs w:val="16"/>
        </w:rPr>
        <w:t xml:space="preserve">: </w:t>
      </w:r>
      <w:r>
        <w:rPr>
          <w:rFonts w:ascii="Times New Roman" w:hAnsi="Times New Roman" w:cs="Times New Roman"/>
          <w:sz w:val="16"/>
          <w:szCs w:val="16"/>
        </w:rPr>
        <w:t>no data for</w:t>
      </w:r>
      <w:r w:rsidRPr="00E411D5">
        <w:rPr>
          <w:rFonts w:ascii="Times New Roman" w:hAnsi="Times New Roman" w:cs="Times New Roman"/>
          <w:sz w:val="16"/>
          <w:szCs w:val="16"/>
        </w:rPr>
        <w:t xml:space="preserve"> Malta</w:t>
      </w:r>
    </w:p>
    <w:p w:rsidR="00AC4991" w:rsidRPr="00E411D5" w:rsidRDefault="00AC4991" w:rsidP="00DE08A0">
      <w:pPr>
        <w:spacing w:after="0" w:line="240" w:lineRule="auto"/>
        <w:jc w:val="both"/>
        <w:rPr>
          <w:rFonts w:ascii="Times New Roman" w:hAnsi="Times New Roman" w:cs="Times New Roman"/>
          <w:sz w:val="20"/>
          <w:szCs w:val="20"/>
        </w:rPr>
      </w:pPr>
    </w:p>
    <w:p w:rsidR="00AC4991" w:rsidRPr="00E411D5" w:rsidRDefault="00AC4991" w:rsidP="00DE08A0">
      <w:pPr>
        <w:spacing w:after="0" w:line="240" w:lineRule="auto"/>
        <w:jc w:val="both"/>
        <w:rPr>
          <w:rFonts w:ascii="Times New Roman" w:hAnsi="Times New Roman" w:cs="Times New Roman"/>
          <w:sz w:val="20"/>
          <w:szCs w:val="20"/>
        </w:rPr>
      </w:pPr>
      <w:r w:rsidRPr="000E2C4D">
        <w:rPr>
          <w:rFonts w:ascii="Times New Roman" w:hAnsi="Times New Roman" w:cs="Times New Roman"/>
          <w:sz w:val="20"/>
          <w:szCs w:val="20"/>
        </w:rPr>
        <w:t>Like the Turnover or gross premiums written indicator</w:t>
      </w:r>
      <w:r>
        <w:rPr>
          <w:rFonts w:ascii="Times New Roman" w:hAnsi="Times New Roman" w:cs="Times New Roman"/>
          <w:sz w:val="20"/>
          <w:szCs w:val="20"/>
        </w:rPr>
        <w:t xml:space="preserve">, </w:t>
      </w:r>
      <w:r w:rsidRPr="000E2C4D">
        <w:rPr>
          <w:rFonts w:ascii="Times New Roman" w:hAnsi="Times New Roman" w:cs="Times New Roman"/>
          <w:sz w:val="20"/>
          <w:szCs w:val="20"/>
        </w:rPr>
        <w:t xml:space="preserve">in the case of Number of enterprises </w:t>
      </w:r>
      <w:r>
        <w:rPr>
          <w:rFonts w:ascii="Times New Roman" w:hAnsi="Times New Roman" w:cs="Times New Roman"/>
          <w:sz w:val="20"/>
          <w:szCs w:val="20"/>
        </w:rPr>
        <w:t>in</w:t>
      </w:r>
      <w:r w:rsidRPr="000E2C4D">
        <w:rPr>
          <w:rFonts w:ascii="Times New Roman" w:hAnsi="Times New Roman" w:cs="Times New Roman"/>
          <w:sz w:val="20"/>
          <w:szCs w:val="20"/>
        </w:rPr>
        <w:t xml:space="preserve"> market research and public opinion polling</w:t>
      </w:r>
      <w:r>
        <w:rPr>
          <w:rFonts w:ascii="Times New Roman" w:hAnsi="Times New Roman" w:cs="Times New Roman"/>
          <w:sz w:val="20"/>
          <w:szCs w:val="20"/>
        </w:rPr>
        <w:t xml:space="preserve"> business</w:t>
      </w:r>
      <w:r w:rsidRPr="000E2C4D">
        <w:rPr>
          <w:rFonts w:ascii="Times New Roman" w:hAnsi="Times New Roman" w:cs="Times New Roman"/>
          <w:sz w:val="20"/>
          <w:szCs w:val="20"/>
        </w:rPr>
        <w:t xml:space="preserve"> there have been different evolutions by country. A spectacular increase from this point of view was registered in Lithuania (more than 6 times in 2010-2014), with the rest of the countries registering increases ranging from 1.7% to 65.1%. </w:t>
      </w:r>
      <w:r>
        <w:rPr>
          <w:rFonts w:ascii="Times New Roman" w:hAnsi="Times New Roman" w:cs="Times New Roman"/>
          <w:sz w:val="20"/>
          <w:szCs w:val="20"/>
        </w:rPr>
        <w:t>Still, i</w:t>
      </w:r>
      <w:r w:rsidRPr="000E2C4D">
        <w:rPr>
          <w:rFonts w:ascii="Times New Roman" w:hAnsi="Times New Roman" w:cs="Times New Roman"/>
          <w:sz w:val="20"/>
          <w:szCs w:val="20"/>
        </w:rPr>
        <w:t>n most EU countries there have been recorded decreases in the number of operators. (Figure 6)</w:t>
      </w:r>
    </w:p>
    <w:p w:rsidR="00AC4991" w:rsidRPr="00E411D5" w:rsidRDefault="00AC4991" w:rsidP="00DE08A0">
      <w:pPr>
        <w:spacing w:after="0" w:line="240" w:lineRule="auto"/>
        <w:jc w:val="both"/>
        <w:rPr>
          <w:rFonts w:ascii="Times New Roman" w:hAnsi="Times New Roman" w:cs="Times New Roman"/>
          <w:sz w:val="20"/>
          <w:szCs w:val="20"/>
        </w:rPr>
      </w:pPr>
    </w:p>
    <w:p w:rsidR="00AC4991" w:rsidRPr="00E411D5" w:rsidRDefault="00AC4991" w:rsidP="00DE08A0">
      <w:pPr>
        <w:spacing w:after="0" w:line="240" w:lineRule="auto"/>
        <w:jc w:val="both"/>
        <w:rPr>
          <w:rFonts w:ascii="Times New Roman" w:hAnsi="Times New Roman" w:cs="Times New Roman"/>
          <w:color w:val="0000FF"/>
          <w:sz w:val="20"/>
          <w:szCs w:val="20"/>
        </w:rPr>
      </w:pPr>
      <w:r w:rsidRPr="00484925">
        <w:rPr>
          <w:rFonts w:ascii="Times New Roman" w:hAnsi="Times New Roman" w:cs="Times New Roman"/>
          <w:noProof/>
          <w:color w:val="0000FF"/>
          <w:sz w:val="20"/>
          <w:szCs w:val="20"/>
        </w:rPr>
        <w:object w:dxaOrig="12639" w:dyaOrig="7042">
          <v:shape id="_x0000_i1030" type="#_x0000_t75" style="width:312.75pt;height:171pt" o:ole="">
            <v:imagedata r:id="rId17" o:title="" croptop="-1033f" cropbottom="-2569f" cropleft="-1721f" cropright="-1753f"/>
            <o:lock v:ext="edit" aspectratio="f"/>
          </v:shape>
          <o:OLEObject Type="Embed" ProgID="Excel.Chart.8" ShapeID="_x0000_i1030" DrawAspect="Content" ObjectID="_1561607706" r:id="rId18"/>
        </w:object>
      </w:r>
    </w:p>
    <w:p w:rsidR="00AC4991" w:rsidRPr="00E411D5" w:rsidRDefault="00AC4991" w:rsidP="00DE08A0">
      <w:pPr>
        <w:spacing w:after="0" w:line="240" w:lineRule="auto"/>
        <w:jc w:val="center"/>
        <w:rPr>
          <w:rFonts w:ascii="Times New Roman" w:hAnsi="Times New Roman" w:cs="Times New Roman"/>
          <w:b/>
          <w:bCs/>
          <w:sz w:val="20"/>
          <w:szCs w:val="20"/>
        </w:rPr>
      </w:pPr>
      <w:r w:rsidRPr="00F50574">
        <w:rPr>
          <w:rFonts w:ascii="Times New Roman" w:hAnsi="Times New Roman" w:cs="Times New Roman"/>
          <w:b/>
          <w:bCs/>
          <w:sz w:val="20"/>
          <w:szCs w:val="20"/>
        </w:rPr>
        <w:t xml:space="preserve">Figure 6. Percentage change in Number of enterprises </w:t>
      </w:r>
      <w:r>
        <w:rPr>
          <w:rFonts w:ascii="Times New Roman" w:hAnsi="Times New Roman" w:cs="Times New Roman"/>
          <w:b/>
          <w:bCs/>
          <w:sz w:val="20"/>
          <w:szCs w:val="20"/>
        </w:rPr>
        <w:t>in</w:t>
      </w:r>
      <w:r w:rsidRPr="00F50574">
        <w:rPr>
          <w:rFonts w:ascii="Times New Roman" w:hAnsi="Times New Roman" w:cs="Times New Roman"/>
          <w:b/>
          <w:bCs/>
          <w:sz w:val="20"/>
          <w:szCs w:val="20"/>
        </w:rPr>
        <w:t xml:space="preserve"> market research and polling </w:t>
      </w:r>
      <w:r>
        <w:rPr>
          <w:rFonts w:ascii="Times New Roman" w:hAnsi="Times New Roman" w:cs="Times New Roman"/>
          <w:b/>
          <w:bCs/>
          <w:sz w:val="20"/>
          <w:szCs w:val="20"/>
        </w:rPr>
        <w:t>business</w:t>
      </w:r>
      <w:r w:rsidRPr="00F50574">
        <w:rPr>
          <w:rFonts w:ascii="Times New Roman" w:hAnsi="Times New Roman" w:cs="Times New Roman"/>
          <w:b/>
          <w:bCs/>
          <w:sz w:val="20"/>
          <w:szCs w:val="20"/>
        </w:rPr>
        <w:t xml:space="preserve"> in EU-28 countries in 2014 compared to 2010 (%)</w:t>
      </w:r>
    </w:p>
    <w:p w:rsidR="00AC4991" w:rsidRPr="00E411D5" w:rsidRDefault="00AC4991" w:rsidP="00DE08A0">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 (Source: </w:t>
      </w:r>
      <w:r>
        <w:rPr>
          <w:rFonts w:ascii="Times New Roman" w:hAnsi="Times New Roman" w:cs="Times New Roman"/>
          <w:sz w:val="16"/>
          <w:szCs w:val="16"/>
        </w:rPr>
        <w:t>own computation</w:t>
      </w:r>
      <w:r w:rsidRPr="00E411D5">
        <w:rPr>
          <w:rFonts w:ascii="Times New Roman" w:hAnsi="Times New Roman" w:cs="Times New Roman"/>
          <w:sz w:val="16"/>
          <w:szCs w:val="16"/>
        </w:rPr>
        <w:t xml:space="preserve"> from Eurostat, 2017)</w:t>
      </w:r>
    </w:p>
    <w:p w:rsidR="00AC4991" w:rsidRPr="00E411D5" w:rsidRDefault="00AC4991" w:rsidP="00DE08A0">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Note: </w:t>
      </w:r>
      <w:r>
        <w:rPr>
          <w:rFonts w:ascii="Times New Roman" w:hAnsi="Times New Roman" w:cs="Times New Roman"/>
          <w:sz w:val="16"/>
          <w:szCs w:val="16"/>
        </w:rPr>
        <w:t>no data for</w:t>
      </w:r>
      <w:r w:rsidRPr="00E411D5">
        <w:rPr>
          <w:rFonts w:ascii="Times New Roman" w:hAnsi="Times New Roman" w:cs="Times New Roman"/>
          <w:sz w:val="16"/>
          <w:szCs w:val="16"/>
        </w:rPr>
        <w:t xml:space="preserve"> Malta</w:t>
      </w:r>
    </w:p>
    <w:p w:rsidR="00AC4991" w:rsidRDefault="00AC4991" w:rsidP="00185C82">
      <w:pPr>
        <w:pStyle w:val="Char"/>
        <w:jc w:val="both"/>
        <w:rPr>
          <w:b/>
          <w:bCs/>
          <w:sz w:val="20"/>
          <w:szCs w:val="20"/>
        </w:rPr>
      </w:pPr>
    </w:p>
    <w:p w:rsidR="00AC4991" w:rsidRPr="00357C49" w:rsidRDefault="00AC4991" w:rsidP="00185C82">
      <w:pPr>
        <w:pStyle w:val="Char"/>
        <w:jc w:val="both"/>
        <w:rPr>
          <w:b/>
          <w:bCs/>
          <w:sz w:val="20"/>
          <w:szCs w:val="20"/>
        </w:rPr>
      </w:pPr>
    </w:p>
    <w:p w:rsidR="00AC4991" w:rsidRPr="00185C82" w:rsidRDefault="00AC4991" w:rsidP="00185C82">
      <w:pPr>
        <w:pStyle w:val="Char"/>
        <w:jc w:val="both"/>
        <w:rPr>
          <w:b/>
          <w:bCs/>
        </w:rPr>
      </w:pPr>
      <w:r w:rsidRPr="00185C82">
        <w:rPr>
          <w:b/>
          <w:bCs/>
        </w:rPr>
        <w:t>The link between the macroeconomic outcomes and market size of market research and public opinion polling business across EU countries in 2015</w:t>
      </w:r>
    </w:p>
    <w:p w:rsidR="00AC4991" w:rsidRPr="009D4B52" w:rsidRDefault="00AC4991" w:rsidP="009D4B52">
      <w:pPr>
        <w:spacing w:after="0" w:line="240" w:lineRule="auto"/>
        <w:jc w:val="both"/>
        <w:rPr>
          <w:rFonts w:ascii="Times New Roman" w:hAnsi="Times New Roman" w:cs="Times New Roman"/>
          <w:sz w:val="20"/>
          <w:szCs w:val="20"/>
        </w:rPr>
      </w:pPr>
      <w:r w:rsidRPr="009D4B52">
        <w:rPr>
          <w:rFonts w:ascii="Times New Roman" w:hAnsi="Times New Roman" w:cs="Times New Roman"/>
          <w:sz w:val="20"/>
          <w:szCs w:val="20"/>
        </w:rPr>
        <w:t>Studying the link between the Gro</w:t>
      </w:r>
      <w:r>
        <w:rPr>
          <w:rFonts w:ascii="Times New Roman" w:hAnsi="Times New Roman" w:cs="Times New Roman"/>
          <w:sz w:val="20"/>
          <w:szCs w:val="20"/>
        </w:rPr>
        <w:t>s</w:t>
      </w:r>
      <w:r w:rsidRPr="009D4B52">
        <w:rPr>
          <w:rFonts w:ascii="Times New Roman" w:hAnsi="Times New Roman" w:cs="Times New Roman"/>
          <w:sz w:val="20"/>
          <w:szCs w:val="20"/>
        </w:rPr>
        <w:t xml:space="preserve">s </w:t>
      </w:r>
      <w:r>
        <w:rPr>
          <w:rFonts w:ascii="Times New Roman" w:hAnsi="Times New Roman" w:cs="Times New Roman"/>
          <w:sz w:val="20"/>
          <w:szCs w:val="20"/>
        </w:rPr>
        <w:t>d</w:t>
      </w:r>
      <w:r w:rsidRPr="009D4B52">
        <w:rPr>
          <w:rFonts w:ascii="Times New Roman" w:hAnsi="Times New Roman" w:cs="Times New Roman"/>
          <w:sz w:val="20"/>
          <w:szCs w:val="20"/>
        </w:rPr>
        <w:t xml:space="preserve">omestic </w:t>
      </w:r>
      <w:r>
        <w:rPr>
          <w:rFonts w:ascii="Times New Roman" w:hAnsi="Times New Roman" w:cs="Times New Roman"/>
          <w:sz w:val="20"/>
          <w:szCs w:val="20"/>
        </w:rPr>
        <w:t>p</w:t>
      </w:r>
      <w:r w:rsidRPr="009D4B52">
        <w:rPr>
          <w:rFonts w:ascii="Times New Roman" w:hAnsi="Times New Roman" w:cs="Times New Roman"/>
          <w:sz w:val="20"/>
          <w:szCs w:val="20"/>
        </w:rPr>
        <w:t xml:space="preserve">roduct and the </w:t>
      </w:r>
      <w:bookmarkStart w:id="4" w:name="OLE_LINK5"/>
      <w:bookmarkStart w:id="5" w:name="OLE_LINK6"/>
      <w:r w:rsidRPr="00185C82">
        <w:rPr>
          <w:rFonts w:ascii="Times New Roman" w:hAnsi="Times New Roman" w:cs="Times New Roman"/>
          <w:sz w:val="20"/>
          <w:szCs w:val="20"/>
          <w:lang w:val="ro-RO"/>
        </w:rPr>
        <w:t>Turnover or</w:t>
      </w:r>
      <w:r w:rsidRPr="00840600">
        <w:rPr>
          <w:rFonts w:ascii="Times New Roman" w:hAnsi="Times New Roman" w:cs="Times New Roman"/>
          <w:color w:val="FF0000"/>
          <w:sz w:val="20"/>
          <w:szCs w:val="20"/>
          <w:lang w:val="ro-RO"/>
        </w:rPr>
        <w:t xml:space="preserve"> </w:t>
      </w:r>
      <w:bookmarkEnd w:id="4"/>
      <w:bookmarkEnd w:id="5"/>
      <w:r w:rsidRPr="009D4B52">
        <w:rPr>
          <w:rFonts w:ascii="Times New Roman" w:hAnsi="Times New Roman" w:cs="Times New Roman"/>
          <w:sz w:val="20"/>
          <w:szCs w:val="20"/>
        </w:rPr>
        <w:t xml:space="preserve">gross premiums written </w:t>
      </w:r>
      <w:r>
        <w:rPr>
          <w:rFonts w:ascii="Times New Roman" w:hAnsi="Times New Roman" w:cs="Times New Roman"/>
          <w:sz w:val="20"/>
          <w:szCs w:val="20"/>
        </w:rPr>
        <w:t>in</w:t>
      </w:r>
      <w:r w:rsidRPr="009D4B52">
        <w:rPr>
          <w:rFonts w:ascii="Times New Roman" w:hAnsi="Times New Roman" w:cs="Times New Roman"/>
          <w:sz w:val="20"/>
          <w:szCs w:val="20"/>
        </w:rPr>
        <w:t xml:space="preserve"> the market research and public opinion survey </w:t>
      </w:r>
      <w:r>
        <w:rPr>
          <w:rFonts w:ascii="Times New Roman" w:hAnsi="Times New Roman" w:cs="Times New Roman"/>
          <w:sz w:val="20"/>
          <w:szCs w:val="20"/>
        </w:rPr>
        <w:t xml:space="preserve">business </w:t>
      </w:r>
      <w:r w:rsidRPr="009D4B52">
        <w:rPr>
          <w:rFonts w:ascii="Times New Roman" w:hAnsi="Times New Roman" w:cs="Times New Roman"/>
          <w:sz w:val="20"/>
          <w:szCs w:val="20"/>
        </w:rPr>
        <w:t xml:space="preserve">in the 28 EU states, there is a strong link between the level of macroeconomic outcomes and the size of the analyzed market. Thus, according to figure no. 7 and table no. 3 it is observed that the bond is direct and strong, the correlation coefficient </w:t>
      </w:r>
      <w:r w:rsidRPr="00C253CB">
        <w:rPr>
          <w:rFonts w:ascii="Times New Roman" w:hAnsi="Times New Roman" w:cs="Times New Roman"/>
          <w:i/>
          <w:iCs/>
          <w:sz w:val="20"/>
          <w:szCs w:val="20"/>
        </w:rPr>
        <w:t>r</w:t>
      </w:r>
      <w:r w:rsidRPr="009D4B52">
        <w:rPr>
          <w:rFonts w:ascii="Times New Roman" w:hAnsi="Times New Roman" w:cs="Times New Roman"/>
          <w:sz w:val="20"/>
          <w:szCs w:val="20"/>
        </w:rPr>
        <w:t xml:space="preserve"> being of 0.871.</w:t>
      </w:r>
    </w:p>
    <w:p w:rsidR="00AC4991" w:rsidRPr="00E411D5" w:rsidRDefault="00AC4991" w:rsidP="009D4B52">
      <w:pPr>
        <w:spacing w:after="0" w:line="240" w:lineRule="auto"/>
        <w:jc w:val="both"/>
        <w:rPr>
          <w:rFonts w:ascii="Times New Roman" w:hAnsi="Times New Roman" w:cs="Times New Roman"/>
          <w:sz w:val="20"/>
          <w:szCs w:val="20"/>
        </w:rPr>
      </w:pPr>
      <w:r w:rsidRPr="009D4B52">
        <w:rPr>
          <w:rFonts w:ascii="Times New Roman" w:hAnsi="Times New Roman" w:cs="Times New Roman"/>
          <w:sz w:val="20"/>
          <w:szCs w:val="20"/>
        </w:rPr>
        <w:t xml:space="preserve">Using the Fisher test to verify the significance of the determined link, it is found that this is significant for a significance level </w:t>
      </w:r>
      <w:r w:rsidRPr="00C253CB">
        <w:rPr>
          <w:rFonts w:ascii="Times New Roman" w:hAnsi="Times New Roman" w:cs="Times New Roman"/>
          <w:i/>
          <w:iCs/>
          <w:sz w:val="20"/>
          <w:szCs w:val="20"/>
        </w:rPr>
        <w:t>α</w:t>
      </w:r>
      <w:r w:rsidRPr="009D4B52">
        <w:rPr>
          <w:rFonts w:ascii="Times New Roman" w:hAnsi="Times New Roman" w:cs="Times New Roman"/>
          <w:sz w:val="20"/>
          <w:szCs w:val="20"/>
        </w:rPr>
        <w:t xml:space="preserve"> </w:t>
      </w:r>
      <w:r>
        <w:rPr>
          <w:rFonts w:ascii="Times New Roman" w:hAnsi="Times New Roman" w:cs="Times New Roman"/>
          <w:sz w:val="20"/>
          <w:szCs w:val="20"/>
        </w:rPr>
        <w:t>of</w:t>
      </w:r>
      <w:r w:rsidRPr="009D4B52">
        <w:rPr>
          <w:rFonts w:ascii="Times New Roman" w:hAnsi="Times New Roman" w:cs="Times New Roman"/>
          <w:sz w:val="20"/>
          <w:szCs w:val="20"/>
        </w:rPr>
        <w:t xml:space="preserve"> 0.001. (Table 3)</w:t>
      </w:r>
    </w:p>
    <w:p w:rsidR="00AC4991" w:rsidRPr="00E411D5" w:rsidRDefault="00AC4991" w:rsidP="00814A93">
      <w:pPr>
        <w:spacing w:after="0" w:line="240" w:lineRule="auto"/>
        <w:jc w:val="both"/>
        <w:rPr>
          <w:rFonts w:ascii="Times New Roman" w:hAnsi="Times New Roman" w:cs="Times New Roman"/>
          <w:sz w:val="20"/>
          <w:szCs w:val="20"/>
        </w:rPr>
      </w:pPr>
    </w:p>
    <w:p w:rsidR="00AC4991" w:rsidRPr="00E411D5" w:rsidRDefault="00AC4991" w:rsidP="00C253CB">
      <w:pPr>
        <w:spacing w:after="0" w:line="240" w:lineRule="auto"/>
        <w:jc w:val="center"/>
        <w:rPr>
          <w:rFonts w:ascii="Times New Roman" w:hAnsi="Times New Roman" w:cs="Times New Roman"/>
          <w:sz w:val="20"/>
          <w:szCs w:val="20"/>
        </w:rPr>
      </w:pPr>
      <w:r w:rsidRPr="00484925">
        <w:rPr>
          <w:rFonts w:ascii="Times New Roman" w:hAnsi="Times New Roman" w:cs="Times New Roman"/>
          <w:noProof/>
          <w:sz w:val="20"/>
          <w:szCs w:val="20"/>
        </w:rPr>
        <w:object w:dxaOrig="4949" w:dyaOrig="3980">
          <v:shape id="_x0000_i1031" type="#_x0000_t75" style="width:240pt;height:159.75pt" o:ole="">
            <v:imagedata r:id="rId19" o:title="" cropbottom="-82f"/>
            <o:lock v:ext="edit" aspectratio="f"/>
          </v:shape>
          <o:OLEObject Type="Embed" ProgID="Excel.Chart.8" ShapeID="_x0000_i1031" DrawAspect="Content" ObjectID="_1561607707" r:id="rId20"/>
        </w:object>
      </w:r>
    </w:p>
    <w:p w:rsidR="00AC4991" w:rsidRPr="00E411D5" w:rsidRDefault="00AC4991" w:rsidP="003B6842">
      <w:pPr>
        <w:spacing w:after="0" w:line="240" w:lineRule="auto"/>
        <w:jc w:val="center"/>
        <w:rPr>
          <w:rFonts w:ascii="Times New Roman" w:hAnsi="Times New Roman" w:cs="Times New Roman"/>
          <w:b/>
          <w:bCs/>
          <w:sz w:val="20"/>
          <w:szCs w:val="20"/>
        </w:rPr>
      </w:pPr>
      <w:bookmarkStart w:id="6" w:name="OLE_LINK15"/>
      <w:bookmarkStart w:id="7" w:name="OLE_LINK16"/>
      <w:r w:rsidRPr="009D4B52">
        <w:rPr>
          <w:rFonts w:ascii="Times New Roman" w:hAnsi="Times New Roman" w:cs="Times New Roman"/>
          <w:b/>
          <w:bCs/>
          <w:sz w:val="20"/>
          <w:szCs w:val="20"/>
        </w:rPr>
        <w:t xml:space="preserve">Figure 7. Link between Gross </w:t>
      </w:r>
      <w:r>
        <w:rPr>
          <w:rFonts w:ascii="Times New Roman" w:hAnsi="Times New Roman" w:cs="Times New Roman"/>
          <w:b/>
          <w:bCs/>
          <w:sz w:val="20"/>
          <w:szCs w:val="20"/>
        </w:rPr>
        <w:t>d</w:t>
      </w:r>
      <w:r w:rsidRPr="009D4B52">
        <w:rPr>
          <w:rFonts w:ascii="Times New Roman" w:hAnsi="Times New Roman" w:cs="Times New Roman"/>
          <w:b/>
          <w:bCs/>
          <w:sz w:val="20"/>
          <w:szCs w:val="20"/>
        </w:rPr>
        <w:t xml:space="preserve">omestic </w:t>
      </w:r>
      <w:r>
        <w:rPr>
          <w:rFonts w:ascii="Times New Roman" w:hAnsi="Times New Roman" w:cs="Times New Roman"/>
          <w:b/>
          <w:bCs/>
          <w:sz w:val="20"/>
          <w:szCs w:val="20"/>
        </w:rPr>
        <w:t>p</w:t>
      </w:r>
      <w:r w:rsidRPr="009D4B52">
        <w:rPr>
          <w:rFonts w:ascii="Times New Roman" w:hAnsi="Times New Roman" w:cs="Times New Roman"/>
          <w:b/>
          <w:bCs/>
          <w:sz w:val="20"/>
          <w:szCs w:val="20"/>
        </w:rPr>
        <w:t xml:space="preserve">roduct and Turnover or </w:t>
      </w:r>
      <w:r>
        <w:rPr>
          <w:rFonts w:ascii="Times New Roman" w:hAnsi="Times New Roman" w:cs="Times New Roman"/>
          <w:b/>
          <w:bCs/>
          <w:sz w:val="20"/>
          <w:szCs w:val="20"/>
        </w:rPr>
        <w:t>g</w:t>
      </w:r>
      <w:r w:rsidRPr="009D4B52">
        <w:rPr>
          <w:rFonts w:ascii="Times New Roman" w:hAnsi="Times New Roman" w:cs="Times New Roman"/>
          <w:b/>
          <w:bCs/>
          <w:sz w:val="20"/>
          <w:szCs w:val="20"/>
        </w:rPr>
        <w:t xml:space="preserve">ross </w:t>
      </w:r>
      <w:r>
        <w:rPr>
          <w:rFonts w:ascii="Times New Roman" w:hAnsi="Times New Roman" w:cs="Times New Roman"/>
          <w:b/>
          <w:bCs/>
          <w:sz w:val="20"/>
          <w:szCs w:val="20"/>
        </w:rPr>
        <w:t>p</w:t>
      </w:r>
      <w:r w:rsidRPr="009D4B52">
        <w:rPr>
          <w:rFonts w:ascii="Times New Roman" w:hAnsi="Times New Roman" w:cs="Times New Roman"/>
          <w:b/>
          <w:bCs/>
          <w:sz w:val="20"/>
          <w:szCs w:val="20"/>
        </w:rPr>
        <w:t xml:space="preserve">remium </w:t>
      </w:r>
      <w:r>
        <w:rPr>
          <w:rFonts w:ascii="Times New Roman" w:hAnsi="Times New Roman" w:cs="Times New Roman"/>
          <w:b/>
          <w:bCs/>
          <w:sz w:val="20"/>
          <w:szCs w:val="20"/>
        </w:rPr>
        <w:t>w</w:t>
      </w:r>
      <w:r w:rsidRPr="009D4B52">
        <w:rPr>
          <w:rFonts w:ascii="Times New Roman" w:hAnsi="Times New Roman" w:cs="Times New Roman"/>
          <w:b/>
          <w:bCs/>
          <w:sz w:val="20"/>
          <w:szCs w:val="20"/>
        </w:rPr>
        <w:t xml:space="preserve">riting </w:t>
      </w:r>
      <w:r>
        <w:rPr>
          <w:rFonts w:ascii="Times New Roman" w:hAnsi="Times New Roman" w:cs="Times New Roman"/>
          <w:b/>
          <w:bCs/>
          <w:sz w:val="20"/>
          <w:szCs w:val="20"/>
        </w:rPr>
        <w:t>in</w:t>
      </w:r>
      <w:r w:rsidRPr="009D4B52">
        <w:rPr>
          <w:rFonts w:ascii="Times New Roman" w:hAnsi="Times New Roman" w:cs="Times New Roman"/>
          <w:b/>
          <w:bCs/>
          <w:sz w:val="20"/>
          <w:szCs w:val="20"/>
        </w:rPr>
        <w:t xml:space="preserve"> Market Research and Public Polling </w:t>
      </w:r>
      <w:r>
        <w:rPr>
          <w:rFonts w:ascii="Times New Roman" w:hAnsi="Times New Roman" w:cs="Times New Roman"/>
          <w:b/>
          <w:bCs/>
          <w:sz w:val="20"/>
          <w:szCs w:val="20"/>
        </w:rPr>
        <w:t>busines</w:t>
      </w:r>
      <w:r w:rsidRPr="009D4B52">
        <w:rPr>
          <w:rFonts w:ascii="Times New Roman" w:hAnsi="Times New Roman" w:cs="Times New Roman"/>
          <w:b/>
          <w:bCs/>
          <w:sz w:val="20"/>
          <w:szCs w:val="20"/>
        </w:rPr>
        <w:t xml:space="preserve"> in EU-28 Countries in 2015</w:t>
      </w:r>
    </w:p>
    <w:p w:rsidR="00AC4991" w:rsidRPr="00E411D5" w:rsidRDefault="00AC4991" w:rsidP="003B6842">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(Source: </w:t>
      </w:r>
      <w:r>
        <w:rPr>
          <w:rFonts w:ascii="Times New Roman" w:hAnsi="Times New Roman" w:cs="Times New Roman"/>
          <w:sz w:val="16"/>
          <w:szCs w:val="16"/>
        </w:rPr>
        <w:t>own computation</w:t>
      </w:r>
      <w:r w:rsidRPr="00E411D5">
        <w:rPr>
          <w:rFonts w:ascii="Times New Roman" w:hAnsi="Times New Roman" w:cs="Times New Roman"/>
          <w:sz w:val="16"/>
          <w:szCs w:val="16"/>
        </w:rPr>
        <w:t xml:space="preserve"> from Eurostat, 2017)</w:t>
      </w:r>
    </w:p>
    <w:p w:rsidR="00AC4991" w:rsidRPr="009D4B52" w:rsidRDefault="00AC4991" w:rsidP="006932C1">
      <w:pPr>
        <w:spacing w:after="0" w:line="240" w:lineRule="auto"/>
        <w:jc w:val="center"/>
        <w:rPr>
          <w:rFonts w:ascii="Times New Roman" w:hAnsi="Times New Roman" w:cs="Times New Roman"/>
          <w:sz w:val="16"/>
          <w:szCs w:val="16"/>
        </w:rPr>
      </w:pPr>
      <w:r w:rsidRPr="009D4B52">
        <w:rPr>
          <w:rFonts w:ascii="Times New Roman" w:hAnsi="Times New Roman" w:cs="Times New Roman"/>
          <w:sz w:val="16"/>
          <w:szCs w:val="16"/>
        </w:rPr>
        <w:t>Notă: for</w:t>
      </w:r>
      <w:r>
        <w:rPr>
          <w:rFonts w:ascii="Times New Roman" w:hAnsi="Times New Roman" w:cs="Times New Roman"/>
          <w:sz w:val="16"/>
          <w:szCs w:val="16"/>
        </w:rPr>
        <w:t xml:space="preserve"> </w:t>
      </w:r>
      <w:r w:rsidRPr="009D4B52">
        <w:rPr>
          <w:rFonts w:ascii="Times New Roman" w:hAnsi="Times New Roman" w:cs="Times New Roman"/>
          <w:sz w:val="16"/>
          <w:szCs w:val="16"/>
        </w:rPr>
        <w:t>Ireland,it was used</w:t>
      </w:r>
      <w:r>
        <w:rPr>
          <w:rFonts w:ascii="Times New Roman" w:hAnsi="Times New Roman" w:cs="Times New Roman"/>
          <w:sz w:val="16"/>
          <w:szCs w:val="16"/>
        </w:rPr>
        <w:t xml:space="preserve"> </w:t>
      </w:r>
      <w:r w:rsidRPr="00C253CB">
        <w:rPr>
          <w:rFonts w:ascii="Times New Roman" w:hAnsi="Times New Roman" w:cs="Times New Roman"/>
          <w:sz w:val="16"/>
          <w:szCs w:val="16"/>
        </w:rPr>
        <w:t>Turnover or gross premiums written</w:t>
      </w:r>
      <w:r w:rsidRPr="009D4B52">
        <w:rPr>
          <w:rFonts w:ascii="Times New Roman" w:hAnsi="Times New Roman" w:cs="Times New Roman"/>
          <w:b/>
          <w:bCs/>
          <w:sz w:val="16"/>
          <w:szCs w:val="16"/>
        </w:rPr>
        <w:t xml:space="preserve"> </w:t>
      </w:r>
      <w:r w:rsidRPr="009D4B52">
        <w:rPr>
          <w:rFonts w:ascii="Times New Roman" w:hAnsi="Times New Roman" w:cs="Times New Roman"/>
          <w:sz w:val="16"/>
          <w:szCs w:val="16"/>
        </w:rPr>
        <w:t>for 2014.</w:t>
      </w:r>
    </w:p>
    <w:bookmarkEnd w:id="6"/>
    <w:bookmarkEnd w:id="7"/>
    <w:p w:rsidR="00AC4991" w:rsidRPr="00E411D5" w:rsidRDefault="00AC4991" w:rsidP="00A15675">
      <w:pPr>
        <w:spacing w:after="0" w:line="240" w:lineRule="auto"/>
        <w:jc w:val="both"/>
        <w:rPr>
          <w:rFonts w:ascii="Times New Roman" w:hAnsi="Times New Roman" w:cs="Times New Roman"/>
          <w:sz w:val="20"/>
          <w:szCs w:val="20"/>
        </w:rPr>
      </w:pPr>
    </w:p>
    <w:p w:rsidR="00AC4991" w:rsidRPr="009D4B52" w:rsidRDefault="00AC4991" w:rsidP="009D4B52">
      <w:pPr>
        <w:spacing w:after="0" w:line="240" w:lineRule="auto"/>
        <w:jc w:val="both"/>
        <w:rPr>
          <w:rFonts w:ascii="Times New Roman" w:hAnsi="Times New Roman" w:cs="Times New Roman"/>
          <w:sz w:val="20"/>
          <w:szCs w:val="20"/>
        </w:rPr>
      </w:pPr>
      <w:r w:rsidRPr="009D4B52">
        <w:rPr>
          <w:rFonts w:ascii="Times New Roman" w:hAnsi="Times New Roman" w:cs="Times New Roman"/>
          <w:sz w:val="20"/>
          <w:szCs w:val="20"/>
        </w:rPr>
        <w:t xml:space="preserve">Similarly, for </w:t>
      </w:r>
      <w:r>
        <w:rPr>
          <w:rFonts w:ascii="Times New Roman" w:hAnsi="Times New Roman" w:cs="Times New Roman"/>
          <w:sz w:val="20"/>
          <w:szCs w:val="20"/>
        </w:rPr>
        <w:t>the new EU members</w:t>
      </w:r>
      <w:r w:rsidRPr="009D4B52">
        <w:rPr>
          <w:rFonts w:ascii="Times New Roman" w:hAnsi="Times New Roman" w:cs="Times New Roman"/>
          <w:sz w:val="20"/>
          <w:szCs w:val="20"/>
        </w:rPr>
        <w:t xml:space="preserve"> the evaluation of the link between Gross </w:t>
      </w:r>
      <w:r>
        <w:rPr>
          <w:rFonts w:ascii="Times New Roman" w:hAnsi="Times New Roman" w:cs="Times New Roman"/>
          <w:sz w:val="20"/>
          <w:szCs w:val="20"/>
        </w:rPr>
        <w:t>d</w:t>
      </w:r>
      <w:r w:rsidRPr="009D4B52">
        <w:rPr>
          <w:rFonts w:ascii="Times New Roman" w:hAnsi="Times New Roman" w:cs="Times New Roman"/>
          <w:sz w:val="20"/>
          <w:szCs w:val="20"/>
        </w:rPr>
        <w:t xml:space="preserve">omestic </w:t>
      </w:r>
      <w:r>
        <w:rPr>
          <w:rFonts w:ascii="Times New Roman" w:hAnsi="Times New Roman" w:cs="Times New Roman"/>
          <w:sz w:val="20"/>
          <w:szCs w:val="20"/>
        </w:rPr>
        <w:t>p</w:t>
      </w:r>
      <w:r w:rsidRPr="009D4B52">
        <w:rPr>
          <w:rFonts w:ascii="Times New Roman" w:hAnsi="Times New Roman" w:cs="Times New Roman"/>
          <w:sz w:val="20"/>
          <w:szCs w:val="20"/>
        </w:rPr>
        <w:t xml:space="preserve">roduct and the </w:t>
      </w:r>
      <w:r w:rsidRPr="00185C82">
        <w:rPr>
          <w:rFonts w:ascii="Times New Roman" w:hAnsi="Times New Roman" w:cs="Times New Roman"/>
          <w:sz w:val="20"/>
          <w:szCs w:val="20"/>
          <w:lang w:val="ro-RO"/>
        </w:rPr>
        <w:t>Turnover or</w:t>
      </w:r>
      <w:r w:rsidRPr="00840600">
        <w:rPr>
          <w:rFonts w:ascii="Times New Roman" w:hAnsi="Times New Roman" w:cs="Times New Roman"/>
          <w:color w:val="FF0000"/>
          <w:sz w:val="20"/>
          <w:szCs w:val="20"/>
          <w:lang w:val="ro-RO"/>
        </w:rPr>
        <w:t xml:space="preserve"> </w:t>
      </w:r>
      <w:r w:rsidRPr="00185C82">
        <w:rPr>
          <w:rFonts w:ascii="Times New Roman" w:hAnsi="Times New Roman" w:cs="Times New Roman"/>
          <w:sz w:val="20"/>
          <w:szCs w:val="20"/>
          <w:lang w:val="ro-RO"/>
        </w:rPr>
        <w:t>g</w:t>
      </w:r>
      <w:r w:rsidRPr="009D4B52">
        <w:rPr>
          <w:rFonts w:ascii="Times New Roman" w:hAnsi="Times New Roman" w:cs="Times New Roman"/>
          <w:sz w:val="20"/>
          <w:szCs w:val="20"/>
        </w:rPr>
        <w:t xml:space="preserve">ross premiums written </w:t>
      </w:r>
      <w:r>
        <w:rPr>
          <w:rFonts w:ascii="Times New Roman" w:hAnsi="Times New Roman" w:cs="Times New Roman"/>
          <w:sz w:val="20"/>
          <w:szCs w:val="20"/>
        </w:rPr>
        <w:t>in</w:t>
      </w:r>
      <w:r w:rsidRPr="009D4B52">
        <w:rPr>
          <w:rFonts w:ascii="Times New Roman" w:hAnsi="Times New Roman" w:cs="Times New Roman"/>
          <w:sz w:val="20"/>
          <w:szCs w:val="20"/>
        </w:rPr>
        <w:t xml:space="preserve"> the activity of market research and public opinion polling, it was found that the direct nature of the relationship between the two var</w:t>
      </w:r>
      <w:r>
        <w:rPr>
          <w:rFonts w:ascii="Times New Roman" w:hAnsi="Times New Roman" w:cs="Times New Roman"/>
          <w:sz w:val="20"/>
          <w:szCs w:val="20"/>
        </w:rPr>
        <w:t xml:space="preserve">iables is also verified, </w:t>
      </w:r>
      <w:r w:rsidRPr="009D4B52">
        <w:rPr>
          <w:rFonts w:ascii="Times New Roman" w:hAnsi="Times New Roman" w:cs="Times New Roman"/>
          <w:sz w:val="20"/>
          <w:szCs w:val="20"/>
        </w:rPr>
        <w:t xml:space="preserve">the intensity of the relationship </w:t>
      </w:r>
      <w:r>
        <w:rPr>
          <w:rFonts w:ascii="Times New Roman" w:hAnsi="Times New Roman" w:cs="Times New Roman"/>
          <w:sz w:val="20"/>
          <w:szCs w:val="20"/>
        </w:rPr>
        <w:t>being</w:t>
      </w:r>
      <w:r w:rsidRPr="009D4B52">
        <w:rPr>
          <w:rFonts w:ascii="Times New Roman" w:hAnsi="Times New Roman" w:cs="Times New Roman"/>
          <w:sz w:val="20"/>
          <w:szCs w:val="20"/>
        </w:rPr>
        <w:t xml:space="preserve"> stronger for the new member states (the correlation coefficient </w:t>
      </w:r>
      <w:r w:rsidRPr="00C253CB">
        <w:rPr>
          <w:rFonts w:ascii="Times New Roman" w:hAnsi="Times New Roman" w:cs="Times New Roman"/>
          <w:i/>
          <w:iCs/>
          <w:sz w:val="20"/>
          <w:szCs w:val="20"/>
        </w:rPr>
        <w:t>r</w:t>
      </w:r>
      <w:r w:rsidRPr="009D4B52">
        <w:rPr>
          <w:rFonts w:ascii="Times New Roman" w:hAnsi="Times New Roman" w:cs="Times New Roman"/>
          <w:sz w:val="20"/>
          <w:szCs w:val="20"/>
        </w:rPr>
        <w:t xml:space="preserve"> calculated for the new EU member states has a value of 0.962, while for the EU-15 it was 0.841). (Figure 8 and Table 3)</w:t>
      </w:r>
    </w:p>
    <w:p w:rsidR="00AC4991" w:rsidRDefault="00AC4991" w:rsidP="009D4B52">
      <w:pPr>
        <w:spacing w:after="0" w:line="240" w:lineRule="auto"/>
        <w:jc w:val="both"/>
        <w:rPr>
          <w:rFonts w:ascii="Times New Roman" w:hAnsi="Times New Roman" w:cs="Times New Roman"/>
          <w:sz w:val="20"/>
          <w:szCs w:val="20"/>
        </w:rPr>
      </w:pPr>
      <w:r w:rsidRPr="009D4B52">
        <w:rPr>
          <w:rFonts w:ascii="Times New Roman" w:hAnsi="Times New Roman" w:cs="Times New Roman"/>
          <w:sz w:val="20"/>
          <w:szCs w:val="20"/>
        </w:rPr>
        <w:t xml:space="preserve">In this case, the determined relationships are significant for a significance level α </w:t>
      </w:r>
      <w:r>
        <w:rPr>
          <w:rFonts w:ascii="Times New Roman" w:hAnsi="Times New Roman" w:cs="Times New Roman"/>
          <w:sz w:val="20"/>
          <w:szCs w:val="20"/>
        </w:rPr>
        <w:t>of</w:t>
      </w:r>
      <w:r w:rsidRPr="009D4B52">
        <w:rPr>
          <w:rFonts w:ascii="Times New Roman" w:hAnsi="Times New Roman" w:cs="Times New Roman"/>
          <w:sz w:val="20"/>
          <w:szCs w:val="20"/>
        </w:rPr>
        <w:t xml:space="preserve"> 0.001, as evidenced by the Fisher test. (Table 3)</w:t>
      </w:r>
    </w:p>
    <w:p w:rsidR="00AC4991" w:rsidRPr="00E411D5" w:rsidRDefault="00AC4991" w:rsidP="009D4B52">
      <w:pPr>
        <w:spacing w:after="0" w:line="240" w:lineRule="auto"/>
        <w:jc w:val="both"/>
        <w:rPr>
          <w:rFonts w:ascii="Times New Roman" w:hAnsi="Times New Roman" w:cs="Times New Roman"/>
          <w:sz w:val="20"/>
          <w:szCs w:val="20"/>
        </w:rPr>
      </w:pPr>
    </w:p>
    <w:tbl>
      <w:tblPr>
        <w:tblW w:w="0" w:type="auto"/>
        <w:tblInd w:w="-106" w:type="dxa"/>
        <w:tblLayout w:type="fixed"/>
        <w:tblLook w:val="01E0"/>
      </w:tblPr>
      <w:tblGrid>
        <w:gridCol w:w="3628"/>
        <w:gridCol w:w="3505"/>
      </w:tblGrid>
      <w:tr w:rsidR="00AC4991" w:rsidRPr="00E411D5">
        <w:trPr>
          <w:trHeight w:val="2951"/>
        </w:trPr>
        <w:tc>
          <w:tcPr>
            <w:tcW w:w="3628" w:type="dxa"/>
          </w:tcPr>
          <w:p w:rsidR="00AC4991" w:rsidRPr="00484925" w:rsidRDefault="00AC4991" w:rsidP="00484925">
            <w:pPr>
              <w:spacing w:after="0" w:line="240" w:lineRule="auto"/>
              <w:jc w:val="center"/>
              <w:rPr>
                <w:rFonts w:ascii="Times New Roman" w:hAnsi="Times New Roman" w:cs="Times New Roman"/>
                <w:b/>
                <w:bCs/>
                <w:sz w:val="20"/>
                <w:szCs w:val="20"/>
              </w:rPr>
            </w:pPr>
            <w:r w:rsidRPr="00484925">
              <w:rPr>
                <w:rFonts w:ascii="Times New Roman" w:hAnsi="Times New Roman" w:cs="Times New Roman"/>
                <w:b/>
                <w:bCs/>
                <w:noProof/>
                <w:sz w:val="20"/>
                <w:szCs w:val="20"/>
              </w:rPr>
              <w:object w:dxaOrig="3362" w:dyaOrig="2891">
                <v:shape id="_x0000_i1032" type="#_x0000_t75" style="width:177pt;height:138pt" o:ole="">
                  <v:imagedata r:id="rId21" o:title="" croptop="-1224f" cropbottom="-2788f" cropleft="-3294f" cropright="-936f"/>
                  <o:lock v:ext="edit" aspectratio="f"/>
                </v:shape>
                <o:OLEObject Type="Embed" ProgID="Excel.Chart.8" ShapeID="_x0000_i1032" DrawAspect="Content" ObjectID="_1561607708" r:id="rId22"/>
              </w:object>
            </w:r>
            <w:r w:rsidRPr="00484925">
              <w:rPr>
                <w:rFonts w:ascii="Times New Roman" w:hAnsi="Times New Roman" w:cs="Times New Roman"/>
                <w:b/>
                <w:bCs/>
                <w:sz w:val="20"/>
                <w:szCs w:val="20"/>
              </w:rPr>
              <w:t>UE – 15</w:t>
            </w:r>
          </w:p>
        </w:tc>
        <w:tc>
          <w:tcPr>
            <w:tcW w:w="3505" w:type="dxa"/>
          </w:tcPr>
          <w:p w:rsidR="00AC4991" w:rsidRPr="00484925" w:rsidRDefault="00AC4991" w:rsidP="00484925">
            <w:pPr>
              <w:spacing w:after="0" w:line="240" w:lineRule="auto"/>
              <w:jc w:val="center"/>
              <w:rPr>
                <w:rFonts w:ascii="Times New Roman" w:hAnsi="Times New Roman" w:cs="Times New Roman"/>
                <w:b/>
                <w:bCs/>
                <w:sz w:val="20"/>
                <w:szCs w:val="20"/>
              </w:rPr>
            </w:pPr>
            <w:r w:rsidRPr="00484925">
              <w:rPr>
                <w:rFonts w:ascii="Times New Roman" w:hAnsi="Times New Roman" w:cs="Times New Roman"/>
                <w:b/>
                <w:bCs/>
                <w:noProof/>
                <w:sz w:val="20"/>
                <w:szCs w:val="20"/>
              </w:rPr>
              <w:object w:dxaOrig="3378" w:dyaOrig="2922">
                <v:shape id="_x0000_i1033" type="#_x0000_t75" style="width:177.75pt;height:140.25pt" o:ole="">
                  <v:imagedata r:id="rId23" o:title="" croptop="-1839f" cropbottom="-2647f" cropleft="-3279f" cropright="-989f"/>
                  <o:lock v:ext="edit" aspectratio="f"/>
                </v:shape>
                <o:OLEObject Type="Embed" ProgID="Excel.Chart.8" ShapeID="_x0000_i1033" DrawAspect="Content" ObjectID="_1561607709" r:id="rId24"/>
              </w:object>
            </w:r>
            <w:r w:rsidRPr="00484925">
              <w:rPr>
                <w:rFonts w:ascii="Times New Roman" w:hAnsi="Times New Roman" w:cs="Times New Roman"/>
                <w:b/>
                <w:bCs/>
                <w:sz w:val="20"/>
                <w:szCs w:val="20"/>
              </w:rPr>
              <w:t>Noile membre UE</w:t>
            </w:r>
          </w:p>
        </w:tc>
      </w:tr>
    </w:tbl>
    <w:p w:rsidR="00AC4991" w:rsidRPr="00E411D5" w:rsidRDefault="00AC4991" w:rsidP="003B6842">
      <w:pPr>
        <w:spacing w:after="0" w:line="240" w:lineRule="auto"/>
        <w:jc w:val="center"/>
        <w:rPr>
          <w:rFonts w:ascii="Times New Roman" w:hAnsi="Times New Roman" w:cs="Times New Roman"/>
          <w:b/>
          <w:bCs/>
          <w:sz w:val="20"/>
          <w:szCs w:val="20"/>
        </w:rPr>
      </w:pPr>
      <w:r w:rsidRPr="00C70F70">
        <w:rPr>
          <w:rFonts w:ascii="Times New Roman" w:hAnsi="Times New Roman" w:cs="Times New Roman"/>
          <w:b/>
          <w:bCs/>
          <w:sz w:val="20"/>
          <w:szCs w:val="20"/>
        </w:rPr>
        <w:t xml:space="preserve">Figure 8. Relationship between Gross </w:t>
      </w:r>
      <w:r>
        <w:rPr>
          <w:rFonts w:ascii="Times New Roman" w:hAnsi="Times New Roman" w:cs="Times New Roman"/>
          <w:b/>
          <w:bCs/>
          <w:sz w:val="20"/>
          <w:szCs w:val="20"/>
        </w:rPr>
        <w:t>d</w:t>
      </w:r>
      <w:r w:rsidRPr="00C70F70">
        <w:rPr>
          <w:rFonts w:ascii="Times New Roman" w:hAnsi="Times New Roman" w:cs="Times New Roman"/>
          <w:b/>
          <w:bCs/>
          <w:sz w:val="20"/>
          <w:szCs w:val="20"/>
        </w:rPr>
        <w:t xml:space="preserve">omestic </w:t>
      </w:r>
      <w:r>
        <w:rPr>
          <w:rFonts w:ascii="Times New Roman" w:hAnsi="Times New Roman" w:cs="Times New Roman"/>
          <w:b/>
          <w:bCs/>
          <w:sz w:val="20"/>
          <w:szCs w:val="20"/>
        </w:rPr>
        <w:t>p</w:t>
      </w:r>
      <w:r w:rsidRPr="00C70F70">
        <w:rPr>
          <w:rFonts w:ascii="Times New Roman" w:hAnsi="Times New Roman" w:cs="Times New Roman"/>
          <w:b/>
          <w:bCs/>
          <w:sz w:val="20"/>
          <w:szCs w:val="20"/>
        </w:rPr>
        <w:t xml:space="preserve">roduct and Turnover or </w:t>
      </w:r>
      <w:r>
        <w:rPr>
          <w:rFonts w:ascii="Times New Roman" w:hAnsi="Times New Roman" w:cs="Times New Roman"/>
          <w:b/>
          <w:bCs/>
          <w:sz w:val="20"/>
          <w:szCs w:val="20"/>
        </w:rPr>
        <w:t>g</w:t>
      </w:r>
      <w:r w:rsidRPr="00C70F70">
        <w:rPr>
          <w:rFonts w:ascii="Times New Roman" w:hAnsi="Times New Roman" w:cs="Times New Roman"/>
          <w:b/>
          <w:bCs/>
          <w:sz w:val="20"/>
          <w:szCs w:val="20"/>
        </w:rPr>
        <w:t xml:space="preserve">ross </w:t>
      </w:r>
      <w:r>
        <w:rPr>
          <w:rFonts w:ascii="Times New Roman" w:hAnsi="Times New Roman" w:cs="Times New Roman"/>
          <w:b/>
          <w:bCs/>
          <w:sz w:val="20"/>
          <w:szCs w:val="20"/>
        </w:rPr>
        <w:t>p</w:t>
      </w:r>
      <w:r w:rsidRPr="00C70F70">
        <w:rPr>
          <w:rFonts w:ascii="Times New Roman" w:hAnsi="Times New Roman" w:cs="Times New Roman"/>
          <w:b/>
          <w:bCs/>
          <w:sz w:val="20"/>
          <w:szCs w:val="20"/>
        </w:rPr>
        <w:t xml:space="preserve">remiums </w:t>
      </w:r>
      <w:r>
        <w:rPr>
          <w:rFonts w:ascii="Times New Roman" w:hAnsi="Times New Roman" w:cs="Times New Roman"/>
          <w:b/>
          <w:bCs/>
          <w:sz w:val="20"/>
          <w:szCs w:val="20"/>
        </w:rPr>
        <w:t>w</w:t>
      </w:r>
      <w:r w:rsidRPr="00C70F70">
        <w:rPr>
          <w:rFonts w:ascii="Times New Roman" w:hAnsi="Times New Roman" w:cs="Times New Roman"/>
          <w:b/>
          <w:bCs/>
          <w:sz w:val="20"/>
          <w:szCs w:val="20"/>
        </w:rPr>
        <w:t xml:space="preserve">ritten </w:t>
      </w:r>
      <w:r>
        <w:rPr>
          <w:rFonts w:ascii="Times New Roman" w:hAnsi="Times New Roman" w:cs="Times New Roman"/>
          <w:b/>
          <w:bCs/>
          <w:sz w:val="20"/>
          <w:szCs w:val="20"/>
        </w:rPr>
        <w:t>in</w:t>
      </w:r>
      <w:r w:rsidRPr="00C70F70">
        <w:rPr>
          <w:rFonts w:ascii="Times New Roman" w:hAnsi="Times New Roman" w:cs="Times New Roman"/>
          <w:b/>
          <w:bCs/>
          <w:sz w:val="20"/>
          <w:szCs w:val="20"/>
        </w:rPr>
        <w:t xml:space="preserve"> Market Research and Public Polling Activity by Categories of Countries - Old and New EU Member States in 2015</w:t>
      </w:r>
    </w:p>
    <w:p w:rsidR="00AC4991" w:rsidRPr="00E411D5" w:rsidRDefault="00AC4991" w:rsidP="00C70F70">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(Source: </w:t>
      </w:r>
      <w:r>
        <w:rPr>
          <w:rFonts w:ascii="Times New Roman" w:hAnsi="Times New Roman" w:cs="Times New Roman"/>
          <w:sz w:val="16"/>
          <w:szCs w:val="16"/>
        </w:rPr>
        <w:t>own computation</w:t>
      </w:r>
      <w:r w:rsidRPr="00E411D5">
        <w:rPr>
          <w:rFonts w:ascii="Times New Roman" w:hAnsi="Times New Roman" w:cs="Times New Roman"/>
          <w:sz w:val="16"/>
          <w:szCs w:val="16"/>
        </w:rPr>
        <w:t xml:space="preserve"> from Eurostat, 2017)</w:t>
      </w:r>
    </w:p>
    <w:p w:rsidR="00AC4991" w:rsidRPr="009D4B52" w:rsidRDefault="00AC4991" w:rsidP="00C70F70">
      <w:pPr>
        <w:spacing w:after="0" w:line="240" w:lineRule="auto"/>
        <w:jc w:val="center"/>
        <w:rPr>
          <w:rFonts w:ascii="Times New Roman" w:hAnsi="Times New Roman" w:cs="Times New Roman"/>
          <w:sz w:val="16"/>
          <w:szCs w:val="16"/>
        </w:rPr>
      </w:pPr>
      <w:r w:rsidRPr="009D4B52">
        <w:rPr>
          <w:rFonts w:ascii="Times New Roman" w:hAnsi="Times New Roman" w:cs="Times New Roman"/>
          <w:sz w:val="16"/>
          <w:szCs w:val="16"/>
        </w:rPr>
        <w:t xml:space="preserve">Notă: for Ireland, it was used </w:t>
      </w:r>
      <w:r w:rsidRPr="00185C82">
        <w:rPr>
          <w:rFonts w:ascii="Times New Roman" w:hAnsi="Times New Roman" w:cs="Times New Roman"/>
          <w:sz w:val="16"/>
          <w:szCs w:val="16"/>
        </w:rPr>
        <w:t>Turnover or gross premiums written</w:t>
      </w:r>
      <w:r w:rsidRPr="009D4B52">
        <w:rPr>
          <w:rFonts w:ascii="Times New Roman" w:hAnsi="Times New Roman" w:cs="Times New Roman"/>
          <w:b/>
          <w:bCs/>
          <w:sz w:val="16"/>
          <w:szCs w:val="16"/>
        </w:rPr>
        <w:t xml:space="preserve"> </w:t>
      </w:r>
      <w:r w:rsidRPr="009D4B52">
        <w:rPr>
          <w:rFonts w:ascii="Times New Roman" w:hAnsi="Times New Roman" w:cs="Times New Roman"/>
          <w:sz w:val="16"/>
          <w:szCs w:val="16"/>
        </w:rPr>
        <w:t>for 2014.</w:t>
      </w:r>
    </w:p>
    <w:p w:rsidR="00AC4991" w:rsidRDefault="00AC4991" w:rsidP="00275CCF">
      <w:pPr>
        <w:spacing w:after="0" w:line="240" w:lineRule="auto"/>
        <w:jc w:val="center"/>
        <w:rPr>
          <w:rFonts w:ascii="Times New Roman" w:hAnsi="Times New Roman" w:cs="Times New Roman"/>
          <w:b/>
          <w:bCs/>
          <w:sz w:val="20"/>
          <w:szCs w:val="20"/>
        </w:rPr>
      </w:pPr>
    </w:p>
    <w:p w:rsidR="00AC4991" w:rsidRDefault="00AC4991" w:rsidP="00275CCF">
      <w:pPr>
        <w:spacing w:after="0" w:line="240" w:lineRule="auto"/>
        <w:jc w:val="center"/>
        <w:rPr>
          <w:rFonts w:ascii="Times New Roman" w:hAnsi="Times New Roman" w:cs="Times New Roman"/>
          <w:b/>
          <w:bCs/>
          <w:sz w:val="20"/>
          <w:szCs w:val="20"/>
        </w:rPr>
      </w:pPr>
      <w:r w:rsidRPr="00C70F70">
        <w:rPr>
          <w:rFonts w:ascii="Times New Roman" w:hAnsi="Times New Roman" w:cs="Times New Roman"/>
          <w:b/>
          <w:bCs/>
          <w:sz w:val="20"/>
          <w:szCs w:val="20"/>
        </w:rPr>
        <w:t xml:space="preserve">Table 3. Relationship between Gross </w:t>
      </w:r>
      <w:r>
        <w:rPr>
          <w:rFonts w:ascii="Times New Roman" w:hAnsi="Times New Roman" w:cs="Times New Roman"/>
          <w:b/>
          <w:bCs/>
          <w:sz w:val="20"/>
          <w:szCs w:val="20"/>
        </w:rPr>
        <w:t>d</w:t>
      </w:r>
      <w:r w:rsidRPr="00C70F70">
        <w:rPr>
          <w:rFonts w:ascii="Times New Roman" w:hAnsi="Times New Roman" w:cs="Times New Roman"/>
          <w:b/>
          <w:bCs/>
          <w:sz w:val="20"/>
          <w:szCs w:val="20"/>
        </w:rPr>
        <w:t xml:space="preserve">omestic </w:t>
      </w:r>
      <w:r>
        <w:rPr>
          <w:rFonts w:ascii="Times New Roman" w:hAnsi="Times New Roman" w:cs="Times New Roman"/>
          <w:b/>
          <w:bCs/>
          <w:sz w:val="20"/>
          <w:szCs w:val="20"/>
        </w:rPr>
        <w:t>p</w:t>
      </w:r>
      <w:r w:rsidRPr="00C70F70">
        <w:rPr>
          <w:rFonts w:ascii="Times New Roman" w:hAnsi="Times New Roman" w:cs="Times New Roman"/>
          <w:b/>
          <w:bCs/>
          <w:sz w:val="20"/>
          <w:szCs w:val="20"/>
        </w:rPr>
        <w:t xml:space="preserve">roduct and Turnover or </w:t>
      </w:r>
      <w:r>
        <w:rPr>
          <w:rFonts w:ascii="Times New Roman" w:hAnsi="Times New Roman" w:cs="Times New Roman"/>
          <w:b/>
          <w:bCs/>
          <w:sz w:val="20"/>
          <w:szCs w:val="20"/>
        </w:rPr>
        <w:t>g</w:t>
      </w:r>
      <w:r w:rsidRPr="00C70F70">
        <w:rPr>
          <w:rFonts w:ascii="Times New Roman" w:hAnsi="Times New Roman" w:cs="Times New Roman"/>
          <w:b/>
          <w:bCs/>
          <w:sz w:val="20"/>
          <w:szCs w:val="20"/>
        </w:rPr>
        <w:t xml:space="preserve">ross Premiums Written </w:t>
      </w:r>
      <w:r>
        <w:rPr>
          <w:rFonts w:ascii="Times New Roman" w:hAnsi="Times New Roman" w:cs="Times New Roman"/>
          <w:b/>
          <w:bCs/>
          <w:sz w:val="20"/>
          <w:szCs w:val="20"/>
        </w:rPr>
        <w:t>in</w:t>
      </w:r>
      <w:r w:rsidRPr="00C70F70">
        <w:rPr>
          <w:rFonts w:ascii="Times New Roman" w:hAnsi="Times New Roman" w:cs="Times New Roman"/>
          <w:b/>
          <w:bCs/>
          <w:sz w:val="20"/>
          <w:szCs w:val="20"/>
        </w:rPr>
        <w:t xml:space="preserve"> Market Research and Public Opinion Polling</w:t>
      </w:r>
      <w:r>
        <w:rPr>
          <w:rFonts w:ascii="Times New Roman" w:hAnsi="Times New Roman" w:cs="Times New Roman"/>
          <w:b/>
          <w:bCs/>
          <w:sz w:val="20"/>
          <w:szCs w:val="20"/>
        </w:rPr>
        <w:t xml:space="preserve"> Business</w:t>
      </w:r>
      <w:r w:rsidRPr="00C70F70">
        <w:rPr>
          <w:rFonts w:ascii="Times New Roman" w:hAnsi="Times New Roman" w:cs="Times New Roman"/>
          <w:b/>
          <w:bCs/>
          <w:sz w:val="20"/>
          <w:szCs w:val="20"/>
        </w:rPr>
        <w:t xml:space="preserve"> in EU Countries in 2015</w:t>
      </w:r>
    </w:p>
    <w:p w:rsidR="00AC4991" w:rsidRPr="00E411D5" w:rsidRDefault="00AC4991" w:rsidP="00275CCF">
      <w:pPr>
        <w:spacing w:after="0" w:line="240" w:lineRule="auto"/>
        <w:jc w:val="center"/>
        <w:rPr>
          <w:rFonts w:ascii="Times New Roman" w:hAnsi="Times New Roman" w:cs="Times New Roman"/>
          <w:b/>
          <w:bCs/>
          <w:sz w:val="20"/>
          <w:szCs w:val="20"/>
        </w:rPr>
      </w:pPr>
    </w:p>
    <w:tbl>
      <w:tblPr>
        <w:tblW w:w="70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0"/>
        <w:gridCol w:w="904"/>
        <w:gridCol w:w="945"/>
        <w:gridCol w:w="1091"/>
        <w:gridCol w:w="572"/>
        <w:gridCol w:w="647"/>
        <w:gridCol w:w="660"/>
        <w:gridCol w:w="621"/>
        <w:gridCol w:w="621"/>
      </w:tblGrid>
      <w:tr w:rsidR="00AC4991" w:rsidRPr="00E411D5">
        <w:trPr>
          <w:cantSplit/>
          <w:trHeight w:val="1772"/>
        </w:trPr>
        <w:tc>
          <w:tcPr>
            <w:tcW w:w="1000" w:type="dxa"/>
            <w:vAlign w:val="center"/>
          </w:tcPr>
          <w:p w:rsidR="00AC4991" w:rsidRPr="00E411D5" w:rsidRDefault="00AC4991" w:rsidP="00A05F54">
            <w:pPr>
              <w:spacing w:after="0" w:line="240" w:lineRule="auto"/>
              <w:jc w:val="center"/>
              <w:rPr>
                <w:rFonts w:ascii="Times New Roman" w:hAnsi="Times New Roman" w:cs="Times New Roman"/>
                <w:b/>
                <w:bCs/>
                <w:sz w:val="18"/>
                <w:szCs w:val="18"/>
              </w:rPr>
            </w:pPr>
            <w:r w:rsidRPr="00E411D5">
              <w:rPr>
                <w:rFonts w:ascii="Times New Roman" w:hAnsi="Times New Roman" w:cs="Times New Roman"/>
                <w:b/>
                <w:bCs/>
                <w:sz w:val="18"/>
                <w:szCs w:val="18"/>
              </w:rPr>
              <w:t>Countries</w:t>
            </w:r>
          </w:p>
        </w:tc>
        <w:tc>
          <w:tcPr>
            <w:tcW w:w="904" w:type="dxa"/>
            <w:vAlign w:val="center"/>
          </w:tcPr>
          <w:p w:rsidR="00AC4991" w:rsidRPr="00E411D5" w:rsidRDefault="00AC4991" w:rsidP="00A05F54">
            <w:pPr>
              <w:spacing w:after="0" w:line="240" w:lineRule="auto"/>
              <w:jc w:val="center"/>
              <w:rPr>
                <w:rFonts w:ascii="Times New Roman" w:hAnsi="Times New Roman" w:cs="Times New Roman"/>
                <w:b/>
                <w:bCs/>
                <w:sz w:val="18"/>
                <w:szCs w:val="18"/>
              </w:rPr>
            </w:pPr>
            <w:r w:rsidRPr="00E411D5">
              <w:rPr>
                <w:rFonts w:ascii="Times New Roman" w:hAnsi="Times New Roman" w:cs="Times New Roman"/>
                <w:b/>
                <w:bCs/>
                <w:sz w:val="18"/>
                <w:szCs w:val="18"/>
              </w:rPr>
              <w:t>Regression equation</w:t>
            </w:r>
          </w:p>
        </w:tc>
        <w:tc>
          <w:tcPr>
            <w:tcW w:w="2036" w:type="dxa"/>
            <w:gridSpan w:val="2"/>
            <w:vAlign w:val="center"/>
          </w:tcPr>
          <w:p w:rsidR="00AC4991" w:rsidRPr="00E411D5" w:rsidRDefault="00AC4991" w:rsidP="00A05F54">
            <w:pPr>
              <w:spacing w:after="0" w:line="240" w:lineRule="auto"/>
              <w:jc w:val="center"/>
              <w:rPr>
                <w:rFonts w:ascii="Times New Roman" w:hAnsi="Times New Roman" w:cs="Times New Roman"/>
                <w:b/>
                <w:bCs/>
                <w:sz w:val="18"/>
                <w:szCs w:val="18"/>
              </w:rPr>
            </w:pPr>
            <w:r w:rsidRPr="00E411D5">
              <w:rPr>
                <w:rFonts w:ascii="Times New Roman" w:hAnsi="Times New Roman" w:cs="Times New Roman"/>
                <w:b/>
                <w:bCs/>
                <w:sz w:val="18"/>
                <w:szCs w:val="18"/>
              </w:rPr>
              <w:t>Variation (sum of the squares)</w:t>
            </w:r>
          </w:p>
        </w:tc>
        <w:tc>
          <w:tcPr>
            <w:tcW w:w="572" w:type="dxa"/>
            <w:textDirection w:val="btLr"/>
            <w:vAlign w:val="center"/>
          </w:tcPr>
          <w:p w:rsidR="00AC4991" w:rsidRPr="00E411D5" w:rsidRDefault="00AC4991" w:rsidP="00C20639">
            <w:pPr>
              <w:spacing w:after="0" w:line="240" w:lineRule="auto"/>
              <w:ind w:left="113" w:right="113"/>
              <w:jc w:val="center"/>
              <w:rPr>
                <w:rFonts w:ascii="Times New Roman" w:hAnsi="Times New Roman" w:cs="Times New Roman"/>
                <w:b/>
                <w:bCs/>
                <w:sz w:val="18"/>
                <w:szCs w:val="18"/>
              </w:rPr>
            </w:pPr>
            <w:r w:rsidRPr="00E411D5">
              <w:rPr>
                <w:rFonts w:ascii="Times New Roman" w:hAnsi="Times New Roman" w:cs="Times New Roman"/>
                <w:b/>
                <w:bCs/>
                <w:sz w:val="18"/>
                <w:szCs w:val="18"/>
              </w:rPr>
              <w:t>Coefficient of determination(</w:t>
            </w:r>
            <w:r w:rsidRPr="00E411D5">
              <w:rPr>
                <w:rFonts w:ascii="Times New Roman" w:hAnsi="Times New Roman" w:cs="Times New Roman"/>
                <w:b/>
                <w:bCs/>
                <w:i/>
                <w:iCs/>
                <w:sz w:val="18"/>
                <w:szCs w:val="18"/>
              </w:rPr>
              <w:t>R</w:t>
            </w:r>
            <w:r w:rsidRPr="00E411D5">
              <w:rPr>
                <w:rFonts w:ascii="Times New Roman" w:hAnsi="Times New Roman" w:cs="Times New Roman"/>
                <w:b/>
                <w:bCs/>
                <w:i/>
                <w:iCs/>
                <w:sz w:val="18"/>
                <w:szCs w:val="18"/>
                <w:vertAlign w:val="superscript"/>
              </w:rPr>
              <w:t>2</w:t>
            </w:r>
            <w:r w:rsidRPr="00E411D5">
              <w:rPr>
                <w:rFonts w:ascii="Times New Roman" w:hAnsi="Times New Roman" w:cs="Times New Roman"/>
                <w:b/>
                <w:bCs/>
                <w:sz w:val="18"/>
                <w:szCs w:val="18"/>
              </w:rPr>
              <w:t>)</w:t>
            </w:r>
          </w:p>
        </w:tc>
        <w:tc>
          <w:tcPr>
            <w:tcW w:w="647" w:type="dxa"/>
            <w:textDirection w:val="btLr"/>
            <w:vAlign w:val="center"/>
          </w:tcPr>
          <w:p w:rsidR="00AC4991" w:rsidRPr="00E411D5" w:rsidRDefault="00AC4991" w:rsidP="00C20639">
            <w:pPr>
              <w:spacing w:after="0" w:line="240" w:lineRule="auto"/>
              <w:ind w:left="113" w:right="113"/>
              <w:jc w:val="center"/>
              <w:rPr>
                <w:rFonts w:ascii="Times New Roman" w:hAnsi="Times New Roman" w:cs="Times New Roman"/>
                <w:b/>
                <w:bCs/>
                <w:sz w:val="18"/>
                <w:szCs w:val="18"/>
              </w:rPr>
            </w:pPr>
            <w:r w:rsidRPr="00E411D5">
              <w:rPr>
                <w:rFonts w:ascii="Times New Roman" w:hAnsi="Times New Roman" w:cs="Times New Roman"/>
                <w:b/>
                <w:bCs/>
                <w:sz w:val="18"/>
                <w:szCs w:val="18"/>
              </w:rPr>
              <w:t>Correlation coefficient (</w:t>
            </w:r>
            <w:r w:rsidRPr="00E411D5">
              <w:rPr>
                <w:rFonts w:ascii="Times New Roman" w:hAnsi="Times New Roman" w:cs="Times New Roman"/>
                <w:b/>
                <w:bCs/>
                <w:i/>
                <w:iCs/>
                <w:sz w:val="18"/>
                <w:szCs w:val="18"/>
              </w:rPr>
              <w:t>r</w:t>
            </w:r>
            <w:r w:rsidRPr="00E411D5">
              <w:rPr>
                <w:rFonts w:ascii="Times New Roman" w:hAnsi="Times New Roman" w:cs="Times New Roman"/>
                <w:b/>
                <w:bCs/>
                <w:sz w:val="18"/>
                <w:szCs w:val="18"/>
              </w:rPr>
              <w:t>)</w:t>
            </w:r>
          </w:p>
        </w:tc>
        <w:tc>
          <w:tcPr>
            <w:tcW w:w="660" w:type="dxa"/>
            <w:textDirection w:val="btLr"/>
            <w:vAlign w:val="center"/>
          </w:tcPr>
          <w:p w:rsidR="00AC4991" w:rsidRPr="00E411D5" w:rsidRDefault="00AC4991" w:rsidP="00C20639">
            <w:pPr>
              <w:spacing w:after="0" w:line="240" w:lineRule="auto"/>
              <w:ind w:left="113" w:right="113"/>
              <w:jc w:val="center"/>
              <w:rPr>
                <w:rFonts w:ascii="Times New Roman" w:hAnsi="Times New Roman" w:cs="Times New Roman"/>
                <w:b/>
                <w:bCs/>
                <w:sz w:val="18"/>
                <w:szCs w:val="18"/>
              </w:rPr>
            </w:pPr>
            <w:r w:rsidRPr="00E411D5">
              <w:rPr>
                <w:rFonts w:ascii="Times New Roman" w:hAnsi="Times New Roman" w:cs="Times New Roman"/>
                <w:b/>
                <w:bCs/>
                <w:sz w:val="18"/>
                <w:szCs w:val="18"/>
              </w:rPr>
              <w:t xml:space="preserve">Calculated </w:t>
            </w:r>
            <w:r w:rsidRPr="00E411D5">
              <w:rPr>
                <w:rFonts w:ascii="Times New Roman" w:hAnsi="Times New Roman" w:cs="Times New Roman"/>
                <w:b/>
                <w:bCs/>
                <w:i/>
                <w:iCs/>
                <w:sz w:val="18"/>
                <w:szCs w:val="18"/>
              </w:rPr>
              <w:t>F</w:t>
            </w:r>
            <w:r w:rsidRPr="00E411D5">
              <w:rPr>
                <w:rFonts w:ascii="Times New Roman" w:hAnsi="Times New Roman" w:cs="Times New Roman"/>
                <w:b/>
                <w:bCs/>
                <w:sz w:val="18"/>
                <w:szCs w:val="18"/>
              </w:rPr>
              <w:t>-Value</w:t>
            </w:r>
          </w:p>
        </w:tc>
        <w:tc>
          <w:tcPr>
            <w:tcW w:w="621" w:type="dxa"/>
            <w:textDirection w:val="btLr"/>
            <w:vAlign w:val="center"/>
          </w:tcPr>
          <w:p w:rsidR="00AC4991" w:rsidRPr="00E411D5" w:rsidRDefault="00AC4991" w:rsidP="00C20639">
            <w:pPr>
              <w:spacing w:after="0" w:line="240" w:lineRule="auto"/>
              <w:ind w:left="113" w:right="113"/>
              <w:jc w:val="center"/>
              <w:rPr>
                <w:rFonts w:ascii="Times New Roman" w:hAnsi="Times New Roman" w:cs="Times New Roman"/>
                <w:b/>
                <w:bCs/>
                <w:sz w:val="18"/>
                <w:szCs w:val="18"/>
              </w:rPr>
            </w:pPr>
            <w:r w:rsidRPr="00E411D5">
              <w:rPr>
                <w:rFonts w:ascii="Times New Roman" w:hAnsi="Times New Roman" w:cs="Times New Roman"/>
                <w:b/>
                <w:bCs/>
                <w:sz w:val="18"/>
                <w:szCs w:val="18"/>
              </w:rPr>
              <w:t>Significance level</w:t>
            </w:r>
          </w:p>
        </w:tc>
        <w:tc>
          <w:tcPr>
            <w:tcW w:w="621" w:type="dxa"/>
            <w:textDirection w:val="btLr"/>
            <w:vAlign w:val="center"/>
          </w:tcPr>
          <w:p w:rsidR="00AC4991" w:rsidRPr="00E411D5" w:rsidRDefault="00AC4991" w:rsidP="00C20639">
            <w:pPr>
              <w:spacing w:after="0" w:line="240" w:lineRule="auto"/>
              <w:ind w:left="113" w:right="113"/>
              <w:jc w:val="center"/>
              <w:rPr>
                <w:rFonts w:ascii="Times New Roman" w:hAnsi="Times New Roman" w:cs="Times New Roman"/>
                <w:b/>
                <w:bCs/>
                <w:sz w:val="18"/>
                <w:szCs w:val="18"/>
              </w:rPr>
            </w:pPr>
            <w:r w:rsidRPr="00E411D5">
              <w:rPr>
                <w:rFonts w:ascii="Times New Roman" w:hAnsi="Times New Roman" w:cs="Times New Roman"/>
                <w:b/>
                <w:bCs/>
                <w:sz w:val="18"/>
                <w:szCs w:val="18"/>
              </w:rPr>
              <w:t xml:space="preserve">Theoretical </w:t>
            </w:r>
            <w:r w:rsidRPr="00E411D5">
              <w:rPr>
                <w:rFonts w:ascii="Times New Roman" w:hAnsi="Times New Roman" w:cs="Times New Roman"/>
                <w:b/>
                <w:bCs/>
                <w:i/>
                <w:iCs/>
                <w:sz w:val="18"/>
                <w:szCs w:val="18"/>
              </w:rPr>
              <w:t>F</w:t>
            </w:r>
            <w:r w:rsidRPr="00E411D5">
              <w:rPr>
                <w:rFonts w:ascii="Times New Roman" w:hAnsi="Times New Roman" w:cs="Times New Roman"/>
                <w:b/>
                <w:bCs/>
                <w:sz w:val="18"/>
                <w:szCs w:val="18"/>
              </w:rPr>
              <w:t>-Value</w:t>
            </w:r>
          </w:p>
        </w:tc>
      </w:tr>
      <w:tr w:rsidR="00AC4991" w:rsidRPr="00E411D5">
        <w:trPr>
          <w:trHeight w:val="71"/>
        </w:trPr>
        <w:tc>
          <w:tcPr>
            <w:tcW w:w="1000"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European Union (UE – 28)</w:t>
            </w:r>
          </w:p>
        </w:tc>
        <w:tc>
          <w:tcPr>
            <w:tcW w:w="904"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Y = 0.0013x + 19.064</w:t>
            </w:r>
          </w:p>
        </w:tc>
        <w:tc>
          <w:tcPr>
            <w:tcW w:w="945" w:type="dxa"/>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Total</w:t>
            </w:r>
          </w:p>
        </w:tc>
        <w:tc>
          <w:tcPr>
            <w:tcW w:w="1091" w:type="dxa"/>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37534591.4</w:t>
            </w:r>
          </w:p>
        </w:tc>
        <w:tc>
          <w:tcPr>
            <w:tcW w:w="572"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75.9</w:t>
            </w:r>
          </w:p>
        </w:tc>
        <w:tc>
          <w:tcPr>
            <w:tcW w:w="647"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0.871</w:t>
            </w:r>
          </w:p>
        </w:tc>
        <w:tc>
          <w:tcPr>
            <w:tcW w:w="660"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81.9</w:t>
            </w:r>
          </w:p>
        </w:tc>
        <w:tc>
          <w:tcPr>
            <w:tcW w:w="621"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0.001</w:t>
            </w:r>
          </w:p>
        </w:tc>
        <w:tc>
          <w:tcPr>
            <w:tcW w:w="621"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13,74</w:t>
            </w:r>
          </w:p>
        </w:tc>
      </w:tr>
      <w:tr w:rsidR="00AC4991" w:rsidRPr="00E411D5">
        <w:trPr>
          <w:trHeight w:val="62"/>
        </w:trPr>
        <w:tc>
          <w:tcPr>
            <w:tcW w:w="1000"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904"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945" w:type="dxa"/>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Factorial</w:t>
            </w:r>
          </w:p>
        </w:tc>
        <w:tc>
          <w:tcPr>
            <w:tcW w:w="1091" w:type="dxa"/>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28493243.8</w:t>
            </w:r>
          </w:p>
        </w:tc>
        <w:tc>
          <w:tcPr>
            <w:tcW w:w="572"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47"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60"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21"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21"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r>
      <w:tr w:rsidR="00AC4991" w:rsidRPr="00E411D5">
        <w:trPr>
          <w:trHeight w:val="53"/>
        </w:trPr>
        <w:tc>
          <w:tcPr>
            <w:tcW w:w="1000"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904"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945" w:type="dxa"/>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Residual</w:t>
            </w:r>
          </w:p>
        </w:tc>
        <w:tc>
          <w:tcPr>
            <w:tcW w:w="1091" w:type="dxa"/>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9041347.6</w:t>
            </w:r>
          </w:p>
        </w:tc>
        <w:tc>
          <w:tcPr>
            <w:tcW w:w="572"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47"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60"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21"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21"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r>
      <w:tr w:rsidR="00AC4991" w:rsidRPr="00E411D5">
        <w:trPr>
          <w:trHeight w:val="50"/>
        </w:trPr>
        <w:tc>
          <w:tcPr>
            <w:tcW w:w="1000"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UE - 15</w:t>
            </w:r>
          </w:p>
        </w:tc>
        <w:tc>
          <w:tcPr>
            <w:tcW w:w="904"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Y = 0.0013x - 21.124</w:t>
            </w:r>
          </w:p>
        </w:tc>
        <w:tc>
          <w:tcPr>
            <w:tcW w:w="945" w:type="dxa"/>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Total</w:t>
            </w:r>
          </w:p>
        </w:tc>
        <w:tc>
          <w:tcPr>
            <w:tcW w:w="1091" w:type="dxa"/>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30733769.4</w:t>
            </w:r>
          </w:p>
        </w:tc>
        <w:tc>
          <w:tcPr>
            <w:tcW w:w="572"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70.7</w:t>
            </w:r>
          </w:p>
        </w:tc>
        <w:tc>
          <w:tcPr>
            <w:tcW w:w="647"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0.841</w:t>
            </w:r>
          </w:p>
        </w:tc>
        <w:tc>
          <w:tcPr>
            <w:tcW w:w="660"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31.4</w:t>
            </w:r>
          </w:p>
        </w:tc>
        <w:tc>
          <w:tcPr>
            <w:tcW w:w="621"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0.001</w:t>
            </w:r>
          </w:p>
        </w:tc>
        <w:tc>
          <w:tcPr>
            <w:tcW w:w="621"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17,81</w:t>
            </w:r>
          </w:p>
        </w:tc>
      </w:tr>
      <w:tr w:rsidR="00AC4991" w:rsidRPr="00E411D5">
        <w:trPr>
          <w:trHeight w:val="50"/>
        </w:trPr>
        <w:tc>
          <w:tcPr>
            <w:tcW w:w="1000"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904"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945" w:type="dxa"/>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Factorial</w:t>
            </w:r>
          </w:p>
        </w:tc>
        <w:tc>
          <w:tcPr>
            <w:tcW w:w="1091" w:type="dxa"/>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21736283.0</w:t>
            </w:r>
          </w:p>
        </w:tc>
        <w:tc>
          <w:tcPr>
            <w:tcW w:w="572"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47"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60"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21"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21"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r>
      <w:tr w:rsidR="00AC4991" w:rsidRPr="00E411D5">
        <w:trPr>
          <w:trHeight w:val="50"/>
        </w:trPr>
        <w:tc>
          <w:tcPr>
            <w:tcW w:w="1000"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904"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945" w:type="dxa"/>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Residual</w:t>
            </w:r>
          </w:p>
        </w:tc>
        <w:tc>
          <w:tcPr>
            <w:tcW w:w="1091" w:type="dxa"/>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8997486.5</w:t>
            </w:r>
          </w:p>
        </w:tc>
        <w:tc>
          <w:tcPr>
            <w:tcW w:w="572"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47"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60"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21"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c>
          <w:tcPr>
            <w:tcW w:w="621" w:type="dxa"/>
            <w:vMerge/>
            <w:vAlign w:val="center"/>
          </w:tcPr>
          <w:p w:rsidR="00AC4991" w:rsidRPr="00E411D5" w:rsidRDefault="00AC4991" w:rsidP="00A05F54">
            <w:pPr>
              <w:spacing w:after="0" w:line="240" w:lineRule="auto"/>
              <w:jc w:val="center"/>
              <w:rPr>
                <w:rFonts w:ascii="Times New Roman" w:hAnsi="Times New Roman" w:cs="Times New Roman"/>
                <w:sz w:val="18"/>
                <w:szCs w:val="18"/>
              </w:rPr>
            </w:pPr>
          </w:p>
        </w:tc>
      </w:tr>
      <w:tr w:rsidR="00AC4991" w:rsidRPr="00E411D5">
        <w:trPr>
          <w:trHeight w:val="170"/>
        </w:trPr>
        <w:tc>
          <w:tcPr>
            <w:tcW w:w="1000"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New </w:t>
            </w:r>
            <w:r w:rsidRPr="00E411D5">
              <w:rPr>
                <w:rFonts w:ascii="Times New Roman" w:hAnsi="Times New Roman" w:cs="Times New Roman"/>
                <w:sz w:val="18"/>
                <w:szCs w:val="18"/>
              </w:rPr>
              <w:t>UE</w:t>
            </w:r>
            <w:r>
              <w:rPr>
                <w:rFonts w:ascii="Times New Roman" w:hAnsi="Times New Roman" w:cs="Times New Roman"/>
                <w:sz w:val="18"/>
                <w:szCs w:val="18"/>
              </w:rPr>
              <w:t xml:space="preserve"> member states</w:t>
            </w:r>
          </w:p>
        </w:tc>
        <w:tc>
          <w:tcPr>
            <w:tcW w:w="904"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Y = 0.0013x + 39.843</w:t>
            </w:r>
          </w:p>
        </w:tc>
        <w:tc>
          <w:tcPr>
            <w:tcW w:w="945" w:type="dxa"/>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Total</w:t>
            </w:r>
          </w:p>
        </w:tc>
        <w:tc>
          <w:tcPr>
            <w:tcW w:w="1091" w:type="dxa"/>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291088.2</w:t>
            </w:r>
          </w:p>
        </w:tc>
        <w:tc>
          <w:tcPr>
            <w:tcW w:w="572"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92.5</w:t>
            </w:r>
          </w:p>
        </w:tc>
        <w:tc>
          <w:tcPr>
            <w:tcW w:w="647"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0.962</w:t>
            </w:r>
          </w:p>
        </w:tc>
        <w:tc>
          <w:tcPr>
            <w:tcW w:w="660"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135.5</w:t>
            </w:r>
          </w:p>
        </w:tc>
        <w:tc>
          <w:tcPr>
            <w:tcW w:w="621"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0.001</w:t>
            </w:r>
          </w:p>
        </w:tc>
        <w:tc>
          <w:tcPr>
            <w:tcW w:w="621" w:type="dxa"/>
            <w:vMerge w:val="restart"/>
            <w:vAlign w:val="center"/>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19,69</w:t>
            </w:r>
          </w:p>
        </w:tc>
      </w:tr>
      <w:tr w:rsidR="00AC4991" w:rsidRPr="00E411D5">
        <w:trPr>
          <w:trHeight w:val="161"/>
        </w:trPr>
        <w:tc>
          <w:tcPr>
            <w:tcW w:w="1000" w:type="dxa"/>
            <w:vMerge/>
            <w:vAlign w:val="center"/>
          </w:tcPr>
          <w:p w:rsidR="00AC4991" w:rsidRPr="00E411D5" w:rsidRDefault="00AC4991" w:rsidP="00A05F54">
            <w:pPr>
              <w:spacing w:after="0" w:line="240" w:lineRule="auto"/>
              <w:rPr>
                <w:rFonts w:ascii="Times New Roman" w:hAnsi="Times New Roman" w:cs="Times New Roman"/>
                <w:color w:val="0000FF"/>
                <w:sz w:val="18"/>
                <w:szCs w:val="18"/>
              </w:rPr>
            </w:pPr>
          </w:p>
        </w:tc>
        <w:tc>
          <w:tcPr>
            <w:tcW w:w="904" w:type="dxa"/>
            <w:vMerge/>
            <w:vAlign w:val="center"/>
          </w:tcPr>
          <w:p w:rsidR="00AC4991" w:rsidRPr="00E411D5" w:rsidRDefault="00AC4991" w:rsidP="00A05F54">
            <w:pPr>
              <w:spacing w:after="0" w:line="240" w:lineRule="auto"/>
              <w:rPr>
                <w:rFonts w:ascii="Times New Roman" w:hAnsi="Times New Roman" w:cs="Times New Roman"/>
                <w:color w:val="0000FF"/>
                <w:sz w:val="18"/>
                <w:szCs w:val="18"/>
              </w:rPr>
            </w:pPr>
          </w:p>
        </w:tc>
        <w:tc>
          <w:tcPr>
            <w:tcW w:w="945" w:type="dxa"/>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Factorial</w:t>
            </w:r>
          </w:p>
        </w:tc>
        <w:tc>
          <w:tcPr>
            <w:tcW w:w="1091" w:type="dxa"/>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269233.2</w:t>
            </w:r>
          </w:p>
        </w:tc>
        <w:tc>
          <w:tcPr>
            <w:tcW w:w="572" w:type="dxa"/>
            <w:vMerge/>
            <w:vAlign w:val="center"/>
          </w:tcPr>
          <w:p w:rsidR="00AC4991" w:rsidRPr="00E411D5" w:rsidRDefault="00AC4991" w:rsidP="00A05F54">
            <w:pPr>
              <w:spacing w:after="0" w:line="240" w:lineRule="auto"/>
              <w:rPr>
                <w:rFonts w:ascii="Times New Roman" w:hAnsi="Times New Roman" w:cs="Times New Roman"/>
                <w:sz w:val="18"/>
                <w:szCs w:val="18"/>
              </w:rPr>
            </w:pPr>
          </w:p>
        </w:tc>
        <w:tc>
          <w:tcPr>
            <w:tcW w:w="647" w:type="dxa"/>
            <w:vMerge/>
            <w:vAlign w:val="center"/>
          </w:tcPr>
          <w:p w:rsidR="00AC4991" w:rsidRPr="00E411D5" w:rsidRDefault="00AC4991" w:rsidP="00A05F54">
            <w:pPr>
              <w:spacing w:after="0" w:line="240" w:lineRule="auto"/>
              <w:rPr>
                <w:rFonts w:ascii="Times New Roman" w:hAnsi="Times New Roman" w:cs="Times New Roman"/>
                <w:sz w:val="18"/>
                <w:szCs w:val="18"/>
              </w:rPr>
            </w:pPr>
          </w:p>
        </w:tc>
        <w:tc>
          <w:tcPr>
            <w:tcW w:w="660" w:type="dxa"/>
            <w:vMerge/>
            <w:vAlign w:val="center"/>
          </w:tcPr>
          <w:p w:rsidR="00AC4991" w:rsidRPr="00E411D5" w:rsidRDefault="00AC4991" w:rsidP="00A05F54">
            <w:pPr>
              <w:spacing w:after="0" w:line="240" w:lineRule="auto"/>
              <w:rPr>
                <w:rFonts w:ascii="Times New Roman" w:hAnsi="Times New Roman" w:cs="Times New Roman"/>
                <w:sz w:val="18"/>
                <w:szCs w:val="18"/>
              </w:rPr>
            </w:pPr>
          </w:p>
        </w:tc>
        <w:tc>
          <w:tcPr>
            <w:tcW w:w="621" w:type="dxa"/>
            <w:vMerge/>
            <w:vAlign w:val="center"/>
          </w:tcPr>
          <w:p w:rsidR="00AC4991" w:rsidRPr="00E411D5" w:rsidRDefault="00AC4991" w:rsidP="00A05F54">
            <w:pPr>
              <w:spacing w:after="0" w:line="240" w:lineRule="auto"/>
              <w:rPr>
                <w:rFonts w:ascii="Times New Roman" w:hAnsi="Times New Roman" w:cs="Times New Roman"/>
                <w:sz w:val="18"/>
                <w:szCs w:val="18"/>
              </w:rPr>
            </w:pPr>
          </w:p>
        </w:tc>
        <w:tc>
          <w:tcPr>
            <w:tcW w:w="621" w:type="dxa"/>
            <w:vMerge/>
            <w:vAlign w:val="center"/>
          </w:tcPr>
          <w:p w:rsidR="00AC4991" w:rsidRPr="00E411D5" w:rsidRDefault="00AC4991" w:rsidP="00A05F54">
            <w:pPr>
              <w:spacing w:after="0" w:line="240" w:lineRule="auto"/>
              <w:rPr>
                <w:rFonts w:ascii="Times New Roman" w:hAnsi="Times New Roman" w:cs="Times New Roman"/>
                <w:sz w:val="18"/>
                <w:szCs w:val="18"/>
              </w:rPr>
            </w:pPr>
          </w:p>
        </w:tc>
      </w:tr>
      <w:tr w:rsidR="00AC4991" w:rsidRPr="00E411D5">
        <w:trPr>
          <w:trHeight w:val="50"/>
        </w:trPr>
        <w:tc>
          <w:tcPr>
            <w:tcW w:w="1000" w:type="dxa"/>
            <w:vMerge/>
            <w:vAlign w:val="center"/>
          </w:tcPr>
          <w:p w:rsidR="00AC4991" w:rsidRPr="00E411D5" w:rsidRDefault="00AC4991" w:rsidP="00A05F54">
            <w:pPr>
              <w:spacing w:after="0" w:line="240" w:lineRule="auto"/>
              <w:rPr>
                <w:rFonts w:ascii="Times New Roman" w:hAnsi="Times New Roman" w:cs="Times New Roman"/>
                <w:color w:val="0000FF"/>
                <w:sz w:val="18"/>
                <w:szCs w:val="18"/>
              </w:rPr>
            </w:pPr>
          </w:p>
        </w:tc>
        <w:tc>
          <w:tcPr>
            <w:tcW w:w="904" w:type="dxa"/>
            <w:vMerge/>
            <w:vAlign w:val="center"/>
          </w:tcPr>
          <w:p w:rsidR="00AC4991" w:rsidRPr="00E411D5" w:rsidRDefault="00AC4991" w:rsidP="00A05F54">
            <w:pPr>
              <w:spacing w:after="0" w:line="240" w:lineRule="auto"/>
              <w:rPr>
                <w:rFonts w:ascii="Times New Roman" w:hAnsi="Times New Roman" w:cs="Times New Roman"/>
                <w:color w:val="0000FF"/>
                <w:sz w:val="18"/>
                <w:szCs w:val="18"/>
              </w:rPr>
            </w:pPr>
          </w:p>
        </w:tc>
        <w:tc>
          <w:tcPr>
            <w:tcW w:w="945" w:type="dxa"/>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Residual</w:t>
            </w:r>
          </w:p>
        </w:tc>
        <w:tc>
          <w:tcPr>
            <w:tcW w:w="1091" w:type="dxa"/>
          </w:tcPr>
          <w:p w:rsidR="00AC4991" w:rsidRPr="00E411D5" w:rsidRDefault="00AC4991"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21855.1</w:t>
            </w:r>
          </w:p>
        </w:tc>
        <w:tc>
          <w:tcPr>
            <w:tcW w:w="572" w:type="dxa"/>
            <w:vMerge/>
            <w:vAlign w:val="center"/>
          </w:tcPr>
          <w:p w:rsidR="00AC4991" w:rsidRPr="00E411D5" w:rsidRDefault="00AC4991" w:rsidP="00A05F54">
            <w:pPr>
              <w:spacing w:after="0" w:line="240" w:lineRule="auto"/>
              <w:rPr>
                <w:rFonts w:ascii="Times New Roman" w:hAnsi="Times New Roman" w:cs="Times New Roman"/>
                <w:sz w:val="18"/>
                <w:szCs w:val="18"/>
              </w:rPr>
            </w:pPr>
          </w:p>
        </w:tc>
        <w:tc>
          <w:tcPr>
            <w:tcW w:w="647" w:type="dxa"/>
            <w:vMerge/>
            <w:vAlign w:val="center"/>
          </w:tcPr>
          <w:p w:rsidR="00AC4991" w:rsidRPr="00E411D5" w:rsidRDefault="00AC4991" w:rsidP="00A05F54">
            <w:pPr>
              <w:spacing w:after="0" w:line="240" w:lineRule="auto"/>
              <w:rPr>
                <w:rFonts w:ascii="Times New Roman" w:hAnsi="Times New Roman" w:cs="Times New Roman"/>
                <w:sz w:val="18"/>
                <w:szCs w:val="18"/>
              </w:rPr>
            </w:pPr>
          </w:p>
        </w:tc>
        <w:tc>
          <w:tcPr>
            <w:tcW w:w="660" w:type="dxa"/>
            <w:vMerge/>
            <w:vAlign w:val="center"/>
          </w:tcPr>
          <w:p w:rsidR="00AC4991" w:rsidRPr="00E411D5" w:rsidRDefault="00AC4991" w:rsidP="00A05F54">
            <w:pPr>
              <w:spacing w:after="0" w:line="240" w:lineRule="auto"/>
              <w:rPr>
                <w:rFonts w:ascii="Times New Roman" w:hAnsi="Times New Roman" w:cs="Times New Roman"/>
                <w:sz w:val="18"/>
                <w:szCs w:val="18"/>
              </w:rPr>
            </w:pPr>
          </w:p>
        </w:tc>
        <w:tc>
          <w:tcPr>
            <w:tcW w:w="621" w:type="dxa"/>
            <w:vMerge/>
            <w:vAlign w:val="center"/>
          </w:tcPr>
          <w:p w:rsidR="00AC4991" w:rsidRPr="00E411D5" w:rsidRDefault="00AC4991" w:rsidP="00A05F54">
            <w:pPr>
              <w:spacing w:after="0" w:line="240" w:lineRule="auto"/>
              <w:rPr>
                <w:rFonts w:ascii="Times New Roman" w:hAnsi="Times New Roman" w:cs="Times New Roman"/>
                <w:sz w:val="18"/>
                <w:szCs w:val="18"/>
              </w:rPr>
            </w:pPr>
          </w:p>
        </w:tc>
        <w:tc>
          <w:tcPr>
            <w:tcW w:w="621" w:type="dxa"/>
            <w:vMerge/>
            <w:vAlign w:val="center"/>
          </w:tcPr>
          <w:p w:rsidR="00AC4991" w:rsidRPr="00E411D5" w:rsidRDefault="00AC4991" w:rsidP="00A05F54">
            <w:pPr>
              <w:spacing w:after="0" w:line="240" w:lineRule="auto"/>
              <w:rPr>
                <w:rFonts w:ascii="Times New Roman" w:hAnsi="Times New Roman" w:cs="Times New Roman"/>
                <w:sz w:val="18"/>
                <w:szCs w:val="18"/>
              </w:rPr>
            </w:pPr>
          </w:p>
        </w:tc>
      </w:tr>
    </w:tbl>
    <w:p w:rsidR="00AC4991" w:rsidRPr="00E411D5" w:rsidRDefault="00AC4991" w:rsidP="00C70F70">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(Source: </w:t>
      </w:r>
      <w:r>
        <w:rPr>
          <w:rFonts w:ascii="Times New Roman" w:hAnsi="Times New Roman" w:cs="Times New Roman"/>
          <w:sz w:val="16"/>
          <w:szCs w:val="16"/>
        </w:rPr>
        <w:t>own computation</w:t>
      </w:r>
      <w:r w:rsidRPr="00E411D5">
        <w:rPr>
          <w:rFonts w:ascii="Times New Roman" w:hAnsi="Times New Roman" w:cs="Times New Roman"/>
          <w:sz w:val="16"/>
          <w:szCs w:val="16"/>
        </w:rPr>
        <w:t xml:space="preserve"> from Eurostat, 2017)</w:t>
      </w:r>
    </w:p>
    <w:p w:rsidR="00AC4991" w:rsidRPr="00E411D5" w:rsidRDefault="00AC4991" w:rsidP="00C70F70">
      <w:pPr>
        <w:spacing w:after="0" w:line="240" w:lineRule="auto"/>
        <w:jc w:val="center"/>
        <w:rPr>
          <w:rFonts w:ascii="Times New Roman" w:hAnsi="Times New Roman" w:cs="Times New Roman"/>
          <w:sz w:val="16"/>
          <w:szCs w:val="16"/>
        </w:rPr>
      </w:pPr>
      <w:r w:rsidRPr="009D4B52">
        <w:rPr>
          <w:rFonts w:ascii="Times New Roman" w:hAnsi="Times New Roman" w:cs="Times New Roman"/>
          <w:sz w:val="16"/>
          <w:szCs w:val="16"/>
        </w:rPr>
        <w:t xml:space="preserve">Notă: for Ireland, it was used </w:t>
      </w:r>
      <w:r w:rsidRPr="00790C3C">
        <w:rPr>
          <w:rFonts w:ascii="Times New Roman" w:hAnsi="Times New Roman" w:cs="Times New Roman"/>
          <w:sz w:val="16"/>
          <w:szCs w:val="16"/>
        </w:rPr>
        <w:t>Turnover or gross premiums written</w:t>
      </w:r>
      <w:r w:rsidRPr="009D4B52">
        <w:rPr>
          <w:rFonts w:ascii="Times New Roman" w:hAnsi="Times New Roman" w:cs="Times New Roman"/>
          <w:b/>
          <w:bCs/>
          <w:sz w:val="16"/>
          <w:szCs w:val="16"/>
        </w:rPr>
        <w:t xml:space="preserve"> </w:t>
      </w:r>
      <w:r w:rsidRPr="009D4B52">
        <w:rPr>
          <w:rFonts w:ascii="Times New Roman" w:hAnsi="Times New Roman" w:cs="Times New Roman"/>
          <w:sz w:val="16"/>
          <w:szCs w:val="16"/>
        </w:rPr>
        <w:t>for 2014.</w:t>
      </w:r>
    </w:p>
    <w:p w:rsidR="00AC4991" w:rsidRPr="00E411D5" w:rsidRDefault="00AC4991" w:rsidP="00937E73">
      <w:pPr>
        <w:spacing w:after="0" w:line="240" w:lineRule="auto"/>
        <w:jc w:val="both"/>
        <w:rPr>
          <w:rFonts w:ascii="Times New Roman" w:hAnsi="Times New Roman" w:cs="Times New Roman"/>
          <w:b/>
          <w:bCs/>
        </w:rPr>
      </w:pPr>
    </w:p>
    <w:p w:rsidR="00AC4991" w:rsidRPr="00BE75F6" w:rsidRDefault="00AC4991" w:rsidP="004A093A">
      <w:pPr>
        <w:spacing w:after="0" w:line="240" w:lineRule="auto"/>
        <w:jc w:val="both"/>
        <w:rPr>
          <w:rFonts w:ascii="Times New Roman" w:hAnsi="Times New Roman" w:cs="Times New Roman"/>
          <w:sz w:val="20"/>
          <w:szCs w:val="20"/>
        </w:rPr>
      </w:pPr>
      <w:r w:rsidRPr="00BE75F6">
        <w:rPr>
          <w:rFonts w:ascii="Times New Roman" w:hAnsi="Times New Roman" w:cs="Times New Roman"/>
          <w:sz w:val="20"/>
          <w:szCs w:val="20"/>
        </w:rPr>
        <w:t>It is noted from the above table that the value of the regression coefficient has the same value at the level of the 3 equations determined (0.0013), which shows that both at the EU-28 and at the EU-15 levels, on average, there is an increase of 1 billion Euro in Gross domestic product, related to an increase of 1.3 million Euro in the market research and public opinion poll activity.</w:t>
      </w:r>
    </w:p>
    <w:p w:rsidR="00AC4991" w:rsidRDefault="00AC4991" w:rsidP="00937E73">
      <w:pPr>
        <w:spacing w:after="0" w:line="240" w:lineRule="auto"/>
        <w:jc w:val="both"/>
        <w:rPr>
          <w:rFonts w:ascii="Times New Roman" w:hAnsi="Times New Roman" w:cs="Times New Roman"/>
          <w:b/>
          <w:bCs/>
        </w:rPr>
      </w:pPr>
    </w:p>
    <w:p w:rsidR="00AC4991" w:rsidRPr="00BE75F6" w:rsidRDefault="00AC4991" w:rsidP="00937E73">
      <w:pPr>
        <w:spacing w:after="0" w:line="240" w:lineRule="auto"/>
        <w:jc w:val="both"/>
        <w:rPr>
          <w:rFonts w:ascii="Times New Roman" w:hAnsi="Times New Roman" w:cs="Times New Roman"/>
          <w:b/>
          <w:bCs/>
        </w:rPr>
      </w:pPr>
    </w:p>
    <w:p w:rsidR="00AC4991" w:rsidRPr="00BE75F6" w:rsidRDefault="00AC4991" w:rsidP="00937E73">
      <w:pPr>
        <w:spacing w:after="0" w:line="240" w:lineRule="auto"/>
        <w:jc w:val="both"/>
        <w:rPr>
          <w:rFonts w:ascii="Times New Roman" w:hAnsi="Times New Roman" w:cs="Times New Roman"/>
          <w:b/>
          <w:bCs/>
        </w:rPr>
      </w:pPr>
      <w:r w:rsidRPr="00BE75F6">
        <w:rPr>
          <w:rFonts w:ascii="Times New Roman" w:hAnsi="Times New Roman" w:cs="Times New Roman"/>
          <w:b/>
          <w:bCs/>
        </w:rPr>
        <w:t>Conclusions</w:t>
      </w:r>
    </w:p>
    <w:p w:rsidR="00AC4991" w:rsidRPr="003A6B35" w:rsidRDefault="00AC4991" w:rsidP="003A6B35">
      <w:pPr>
        <w:spacing w:after="0" w:line="240" w:lineRule="auto"/>
        <w:jc w:val="both"/>
        <w:rPr>
          <w:rFonts w:ascii="Times New Roman" w:hAnsi="Times New Roman" w:cs="Times New Roman"/>
          <w:sz w:val="20"/>
          <w:szCs w:val="20"/>
        </w:rPr>
      </w:pPr>
      <w:r w:rsidRPr="003A6B35">
        <w:rPr>
          <w:rFonts w:ascii="Times New Roman" w:hAnsi="Times New Roman" w:cs="Times New Roman"/>
          <w:sz w:val="20"/>
          <w:szCs w:val="20"/>
        </w:rPr>
        <w:t>This paper highlights how the market for market research and public opinion polling across EU countries has evolved over the last years (2010-2015), as well as the link between the macroeconomic outcomes and the size of this market at the level of the analyzed countries.</w:t>
      </w:r>
    </w:p>
    <w:p w:rsidR="00AC4991" w:rsidRPr="003A6B35" w:rsidRDefault="00AC4991" w:rsidP="003A6B35">
      <w:pPr>
        <w:spacing w:after="0" w:line="240" w:lineRule="auto"/>
        <w:jc w:val="both"/>
        <w:rPr>
          <w:rFonts w:ascii="Times New Roman" w:hAnsi="Times New Roman" w:cs="Times New Roman"/>
          <w:sz w:val="20"/>
          <w:szCs w:val="20"/>
        </w:rPr>
      </w:pPr>
      <w:r w:rsidRPr="003A6B35">
        <w:rPr>
          <w:rFonts w:ascii="Times New Roman" w:hAnsi="Times New Roman" w:cs="Times New Roman"/>
          <w:sz w:val="20"/>
          <w:szCs w:val="20"/>
        </w:rPr>
        <w:t xml:space="preserve">For the market assessment, </w:t>
      </w:r>
      <w:r>
        <w:rPr>
          <w:rFonts w:ascii="Times New Roman" w:hAnsi="Times New Roman" w:cs="Times New Roman"/>
          <w:sz w:val="20"/>
          <w:szCs w:val="20"/>
        </w:rPr>
        <w:t xml:space="preserve">the </w:t>
      </w:r>
      <w:r w:rsidRPr="003A6B35">
        <w:rPr>
          <w:rFonts w:ascii="Times New Roman" w:hAnsi="Times New Roman" w:cs="Times New Roman"/>
          <w:sz w:val="20"/>
          <w:szCs w:val="20"/>
        </w:rPr>
        <w:t>indicators used</w:t>
      </w:r>
      <w:r>
        <w:rPr>
          <w:rFonts w:ascii="Times New Roman" w:hAnsi="Times New Roman" w:cs="Times New Roman"/>
          <w:sz w:val="20"/>
          <w:szCs w:val="20"/>
        </w:rPr>
        <w:t xml:space="preserve"> </w:t>
      </w:r>
      <w:r w:rsidRPr="003A6B35">
        <w:rPr>
          <w:rFonts w:ascii="Times New Roman" w:hAnsi="Times New Roman" w:cs="Times New Roman"/>
          <w:sz w:val="20"/>
          <w:szCs w:val="20"/>
        </w:rPr>
        <w:t>were: Turnover or gross premiums written, Number of enterprises and Number of persons employed. The analysis was based on the latest available official data provided by Eurostat.</w:t>
      </w:r>
    </w:p>
    <w:p w:rsidR="00AC4991" w:rsidRPr="00E411D5" w:rsidRDefault="00AC4991" w:rsidP="003A6B35">
      <w:pPr>
        <w:spacing w:after="0" w:line="240" w:lineRule="auto"/>
        <w:jc w:val="both"/>
        <w:rPr>
          <w:rFonts w:ascii="Times New Roman" w:hAnsi="Times New Roman" w:cs="Times New Roman"/>
          <w:sz w:val="20"/>
          <w:szCs w:val="20"/>
        </w:rPr>
      </w:pPr>
      <w:r w:rsidRPr="003A6B35">
        <w:rPr>
          <w:rFonts w:ascii="Times New Roman" w:hAnsi="Times New Roman" w:cs="Times New Roman"/>
          <w:sz w:val="20"/>
          <w:szCs w:val="20"/>
        </w:rPr>
        <w:t xml:space="preserve">The market of organizations </w:t>
      </w:r>
      <w:r>
        <w:rPr>
          <w:rFonts w:ascii="Times New Roman" w:hAnsi="Times New Roman" w:cs="Times New Roman"/>
          <w:sz w:val="20"/>
          <w:szCs w:val="20"/>
        </w:rPr>
        <w:t>in</w:t>
      </w:r>
      <w:r w:rsidRPr="003A6B35">
        <w:rPr>
          <w:rFonts w:ascii="Times New Roman" w:hAnsi="Times New Roman" w:cs="Times New Roman"/>
          <w:sz w:val="20"/>
          <w:szCs w:val="20"/>
        </w:rPr>
        <w:t xml:space="preserve"> market research activity and public opinion polling at the level of the </w:t>
      </w:r>
      <w:r>
        <w:rPr>
          <w:rFonts w:ascii="Times New Roman" w:hAnsi="Times New Roman" w:cs="Times New Roman"/>
          <w:sz w:val="20"/>
          <w:szCs w:val="20"/>
        </w:rPr>
        <w:t>EU</w:t>
      </w:r>
      <w:r w:rsidRPr="003A6B35">
        <w:rPr>
          <w:rFonts w:ascii="Times New Roman" w:hAnsi="Times New Roman" w:cs="Times New Roman"/>
          <w:sz w:val="20"/>
          <w:szCs w:val="20"/>
        </w:rPr>
        <w:t xml:space="preserve"> registered </w:t>
      </w:r>
      <w:r>
        <w:rPr>
          <w:rFonts w:ascii="Times New Roman" w:hAnsi="Times New Roman" w:cs="Times New Roman"/>
          <w:sz w:val="20"/>
          <w:szCs w:val="20"/>
        </w:rPr>
        <w:t>an increase in the period 2010-2015</w:t>
      </w:r>
      <w:r w:rsidRPr="003A6B35">
        <w:rPr>
          <w:rFonts w:ascii="Times New Roman" w:hAnsi="Times New Roman" w:cs="Times New Roman"/>
          <w:sz w:val="20"/>
          <w:szCs w:val="20"/>
        </w:rPr>
        <w:t xml:space="preserve"> from the perspective of the Turnover or gross premiums written indicator, </w:t>
      </w:r>
      <w:r>
        <w:rPr>
          <w:rFonts w:ascii="Times New Roman" w:hAnsi="Times New Roman" w:cs="Times New Roman"/>
          <w:sz w:val="20"/>
          <w:szCs w:val="20"/>
        </w:rPr>
        <w:t>the</w:t>
      </w:r>
      <w:r w:rsidRPr="003A6B35">
        <w:rPr>
          <w:rFonts w:ascii="Times New Roman" w:hAnsi="Times New Roman" w:cs="Times New Roman"/>
          <w:sz w:val="20"/>
          <w:szCs w:val="20"/>
        </w:rPr>
        <w:t xml:space="preserve"> upward trend reaching in 2015 almost 19 billion Euros; </w:t>
      </w:r>
      <w:r>
        <w:rPr>
          <w:rFonts w:ascii="Times New Roman" w:hAnsi="Times New Roman" w:cs="Times New Roman"/>
          <w:sz w:val="20"/>
          <w:szCs w:val="20"/>
        </w:rPr>
        <w:t>the old EU members hold</w:t>
      </w:r>
      <w:r w:rsidRPr="003A6B35">
        <w:rPr>
          <w:rFonts w:ascii="Times New Roman" w:hAnsi="Times New Roman" w:cs="Times New Roman"/>
          <w:sz w:val="20"/>
          <w:szCs w:val="20"/>
        </w:rPr>
        <w:t xml:space="preserve"> over 89% of the total market. </w:t>
      </w:r>
      <w:r>
        <w:rPr>
          <w:rFonts w:ascii="Times New Roman" w:hAnsi="Times New Roman" w:cs="Times New Roman"/>
          <w:sz w:val="20"/>
          <w:szCs w:val="20"/>
        </w:rPr>
        <w:t>In</w:t>
      </w:r>
      <w:r w:rsidRPr="003A6B35">
        <w:rPr>
          <w:rFonts w:ascii="Times New Roman" w:hAnsi="Times New Roman" w:cs="Times New Roman"/>
          <w:sz w:val="20"/>
          <w:szCs w:val="20"/>
        </w:rPr>
        <w:t xml:space="preserve"> the background of the increase in the Turnover or gross premiums written, the Number of enterprises and Number of persons employed registered a slight involution, which shows an increase in efficiency in this field.</w:t>
      </w:r>
    </w:p>
    <w:p w:rsidR="00AC4991" w:rsidRPr="00CA2FA4" w:rsidRDefault="00AC4991" w:rsidP="00DF069C">
      <w:pPr>
        <w:spacing w:after="0" w:line="240" w:lineRule="auto"/>
        <w:jc w:val="both"/>
        <w:rPr>
          <w:rFonts w:ascii="Times New Roman" w:hAnsi="Times New Roman" w:cs="Times New Roman"/>
          <w:sz w:val="20"/>
          <w:szCs w:val="20"/>
        </w:rPr>
      </w:pPr>
      <w:bookmarkStart w:id="8" w:name="_GoBack"/>
      <w:bookmarkEnd w:id="8"/>
      <w:r w:rsidRPr="00CA2FA4">
        <w:rPr>
          <w:rFonts w:ascii="Times New Roman" w:hAnsi="Times New Roman" w:cs="Times New Roman"/>
          <w:sz w:val="20"/>
          <w:szCs w:val="20"/>
        </w:rPr>
        <w:t>Market size of market research and public polling organizations business at the level of the analyzed countries is closely related to the macroeconomic results recorded, with a direct and strong link between Gross domestic product and Turnover or gross premiums written both at EU-28 level, as well as by categories of old and new member states. The determined link shows that, on average, at the level of EU countries, an increase of 1 billion Euros of Gross Domestic Product generates an increase of 1.3 million Euros of the market research and public opinion poll</w:t>
      </w:r>
      <w:r>
        <w:rPr>
          <w:rFonts w:ascii="Times New Roman" w:hAnsi="Times New Roman" w:cs="Times New Roman"/>
          <w:sz w:val="20"/>
          <w:szCs w:val="20"/>
        </w:rPr>
        <w:t xml:space="preserve">ing </w:t>
      </w:r>
      <w:r w:rsidRPr="00CA2FA4">
        <w:rPr>
          <w:rFonts w:ascii="Times New Roman" w:hAnsi="Times New Roman" w:cs="Times New Roman"/>
          <w:sz w:val="20"/>
          <w:szCs w:val="20"/>
        </w:rPr>
        <w:t>activity.</w:t>
      </w:r>
    </w:p>
    <w:p w:rsidR="00AC4991" w:rsidRPr="00CA2FA4" w:rsidRDefault="00AC4991" w:rsidP="00937E73">
      <w:pPr>
        <w:spacing w:after="0" w:line="240" w:lineRule="auto"/>
        <w:jc w:val="both"/>
        <w:rPr>
          <w:rFonts w:ascii="Times New Roman" w:hAnsi="Times New Roman" w:cs="Times New Roman"/>
          <w:b/>
          <w:bCs/>
        </w:rPr>
      </w:pPr>
    </w:p>
    <w:p w:rsidR="00AC4991" w:rsidRPr="00790C3C" w:rsidRDefault="00AC4991" w:rsidP="00937E73">
      <w:pPr>
        <w:spacing w:after="0" w:line="240" w:lineRule="auto"/>
        <w:jc w:val="both"/>
        <w:rPr>
          <w:rFonts w:ascii="Times New Roman" w:hAnsi="Times New Roman" w:cs="Times New Roman"/>
          <w:b/>
          <w:bCs/>
        </w:rPr>
      </w:pPr>
    </w:p>
    <w:p w:rsidR="00AC4991" w:rsidRPr="00245328" w:rsidRDefault="00AC4991" w:rsidP="00937E73">
      <w:pPr>
        <w:spacing w:after="0" w:line="240" w:lineRule="auto"/>
        <w:jc w:val="both"/>
        <w:rPr>
          <w:rFonts w:ascii="Times New Roman" w:hAnsi="Times New Roman" w:cs="Times New Roman"/>
          <w:b/>
          <w:bCs/>
        </w:rPr>
      </w:pPr>
      <w:r w:rsidRPr="00245328">
        <w:rPr>
          <w:rFonts w:ascii="Times New Roman" w:hAnsi="Times New Roman" w:cs="Times New Roman"/>
          <w:b/>
          <w:bCs/>
        </w:rPr>
        <w:t xml:space="preserve">References </w:t>
      </w:r>
    </w:p>
    <w:p w:rsidR="00AC4991" w:rsidRPr="00245328" w:rsidRDefault="00AC4991" w:rsidP="006547DB">
      <w:pPr>
        <w:spacing w:after="0" w:line="240" w:lineRule="auto"/>
        <w:ind w:left="562" w:hanging="562"/>
        <w:jc w:val="both"/>
        <w:rPr>
          <w:rFonts w:ascii="Times New Roman" w:hAnsi="Times New Roman" w:cs="Times New Roman"/>
          <w:snapToGrid w:val="0"/>
          <w:sz w:val="20"/>
          <w:szCs w:val="20"/>
        </w:rPr>
      </w:pPr>
      <w:r w:rsidRPr="00245328">
        <w:rPr>
          <w:rFonts w:ascii="Times New Roman" w:hAnsi="Times New Roman" w:cs="Times New Roman"/>
          <w:snapToGrid w:val="0"/>
          <w:sz w:val="20"/>
          <w:szCs w:val="20"/>
        </w:rPr>
        <w:t xml:space="preserve">Boier, R, Ţimiraş, L.C. (2006), </w:t>
      </w:r>
      <w:r w:rsidRPr="00245328">
        <w:rPr>
          <w:rFonts w:ascii="Times New Roman" w:hAnsi="Times New Roman" w:cs="Times New Roman"/>
          <w:i/>
          <w:iCs/>
          <w:snapToGrid w:val="0"/>
          <w:sz w:val="20"/>
          <w:szCs w:val="20"/>
        </w:rPr>
        <w:t>Cercetarea de marketing</w:t>
      </w:r>
      <w:r w:rsidRPr="00245328">
        <w:rPr>
          <w:rFonts w:ascii="Times New Roman" w:hAnsi="Times New Roman" w:cs="Times New Roman"/>
          <w:snapToGrid w:val="0"/>
          <w:sz w:val="20"/>
          <w:szCs w:val="20"/>
        </w:rPr>
        <w:t>, Iaşi, Editura Performantica;</w:t>
      </w:r>
    </w:p>
    <w:p w:rsidR="00AC4991" w:rsidRPr="00E411D5" w:rsidRDefault="00AC4991" w:rsidP="00C20639">
      <w:pPr>
        <w:spacing w:after="0" w:line="240" w:lineRule="auto"/>
        <w:ind w:left="562" w:hanging="562"/>
        <w:jc w:val="both"/>
        <w:rPr>
          <w:rFonts w:ascii="Times New Roman" w:hAnsi="Times New Roman" w:cs="Times New Roman"/>
          <w:sz w:val="20"/>
          <w:szCs w:val="20"/>
        </w:rPr>
      </w:pPr>
      <w:r w:rsidRPr="00E411D5">
        <w:rPr>
          <w:rFonts w:ascii="Times New Roman" w:hAnsi="Times New Roman" w:cs="Times New Roman"/>
          <w:sz w:val="20"/>
          <w:szCs w:val="20"/>
        </w:rPr>
        <w:t xml:space="preserve">Harja E., Ţimiraş L.C. (2009), </w:t>
      </w:r>
      <w:r w:rsidRPr="00E411D5">
        <w:rPr>
          <w:rFonts w:ascii="Times New Roman" w:hAnsi="Times New Roman" w:cs="Times New Roman"/>
          <w:i/>
          <w:iCs/>
          <w:sz w:val="20"/>
          <w:szCs w:val="20"/>
        </w:rPr>
        <w:t>Metode statistice utilizate în cercetarea de marketing</w:t>
      </w:r>
      <w:r w:rsidRPr="00E411D5">
        <w:rPr>
          <w:rFonts w:ascii="Times New Roman" w:hAnsi="Times New Roman" w:cs="Times New Roman"/>
          <w:sz w:val="20"/>
          <w:szCs w:val="20"/>
        </w:rPr>
        <w:t>, Bacau, Editura Alma Mater</w:t>
      </w:r>
    </w:p>
    <w:p w:rsidR="00AC4991" w:rsidRPr="00E411D5" w:rsidRDefault="00AC4991" w:rsidP="00C20639">
      <w:pPr>
        <w:spacing w:after="0" w:line="240" w:lineRule="auto"/>
        <w:ind w:left="562" w:hanging="562"/>
        <w:jc w:val="both"/>
        <w:rPr>
          <w:rFonts w:ascii="Times New Roman" w:hAnsi="Times New Roman" w:cs="Times New Roman"/>
          <w:sz w:val="20"/>
          <w:szCs w:val="20"/>
        </w:rPr>
      </w:pPr>
      <w:r w:rsidRPr="00E411D5">
        <w:rPr>
          <w:rFonts w:ascii="Times New Roman" w:hAnsi="Times New Roman" w:cs="Times New Roman"/>
          <w:sz w:val="20"/>
          <w:szCs w:val="20"/>
        </w:rPr>
        <w:t xml:space="preserve">Ţimiraş, L. (2013), „The Evolution of the Marketing Research Market on the Level of The European Union Countries, after 2000”, </w:t>
      </w:r>
      <w:hyperlink r:id="rId25" w:history="1">
        <w:r w:rsidRPr="00E411D5">
          <w:rPr>
            <w:rStyle w:val="Hyperlink"/>
            <w:rFonts w:ascii="Times New Roman" w:hAnsi="Times New Roman" w:cs="Times New Roman"/>
            <w:i/>
            <w:iCs/>
            <w:color w:val="auto"/>
            <w:sz w:val="20"/>
            <w:szCs w:val="20"/>
            <w:u w:val="none"/>
          </w:rPr>
          <w:t>Studies and Scientific Researches - Economic Edition</w:t>
        </w:r>
      </w:hyperlink>
      <w:r w:rsidRPr="00E411D5">
        <w:rPr>
          <w:rFonts w:ascii="Times New Roman" w:hAnsi="Times New Roman" w:cs="Times New Roman"/>
          <w:sz w:val="20"/>
          <w:szCs w:val="20"/>
        </w:rPr>
        <w:t>, No. 18, pp. 362-366, available at http://sceco.ub.ro/</w:t>
      </w:r>
    </w:p>
    <w:p w:rsidR="00AC4991" w:rsidRPr="00AA6AA8" w:rsidRDefault="00AC4991" w:rsidP="00937E73">
      <w:pPr>
        <w:spacing w:after="0" w:line="240" w:lineRule="auto"/>
        <w:ind w:left="562" w:hanging="562"/>
        <w:jc w:val="both"/>
        <w:rPr>
          <w:rFonts w:ascii="Times New Roman" w:hAnsi="Times New Roman" w:cs="Times New Roman"/>
          <w:noProof/>
          <w:sz w:val="20"/>
          <w:szCs w:val="20"/>
          <w:lang w:val="it-IT"/>
        </w:rPr>
      </w:pPr>
      <w:r w:rsidRPr="00AA6AA8">
        <w:rPr>
          <w:rFonts w:ascii="Times New Roman" w:hAnsi="Times New Roman" w:cs="Times New Roman"/>
          <w:noProof/>
          <w:sz w:val="20"/>
          <w:szCs w:val="20"/>
          <w:lang w:val="it-IT"/>
        </w:rPr>
        <w:t xml:space="preserve">Eurostat (2017), </w:t>
      </w:r>
      <w:hyperlink r:id="rId26" w:history="1">
        <w:r w:rsidRPr="00AA6AA8">
          <w:rPr>
            <w:rStyle w:val="Hyperlink"/>
            <w:rFonts w:ascii="Times New Roman" w:hAnsi="Times New Roman" w:cs="Times New Roman"/>
            <w:noProof/>
            <w:color w:val="auto"/>
            <w:sz w:val="20"/>
            <w:szCs w:val="20"/>
            <w:u w:val="none"/>
            <w:lang w:val="it-IT"/>
          </w:rPr>
          <w:t>http://epp.eurostat.ec.europa.eu</w:t>
        </w:r>
      </w:hyperlink>
      <w:r w:rsidRPr="00AA6AA8">
        <w:rPr>
          <w:rFonts w:ascii="Times New Roman" w:hAnsi="Times New Roman" w:cs="Times New Roman"/>
          <w:noProof/>
          <w:sz w:val="20"/>
          <w:szCs w:val="20"/>
          <w:lang w:val="it-IT"/>
        </w:rPr>
        <w:t>.</w:t>
      </w:r>
    </w:p>
    <w:p w:rsidR="00AC4991" w:rsidRPr="00AA6AA8" w:rsidRDefault="00AC4991" w:rsidP="00871218">
      <w:pPr>
        <w:spacing w:after="0" w:line="240" w:lineRule="auto"/>
        <w:ind w:left="562" w:hanging="562"/>
        <w:jc w:val="both"/>
        <w:rPr>
          <w:rFonts w:ascii="Times New Roman" w:hAnsi="Times New Roman" w:cs="Times New Roman"/>
          <w:sz w:val="20"/>
          <w:szCs w:val="20"/>
          <w:lang w:val="it-IT"/>
        </w:rPr>
      </w:pPr>
      <w:r w:rsidRPr="00AA6AA8">
        <w:rPr>
          <w:rFonts w:ascii="Times New Roman" w:hAnsi="Times New Roman" w:cs="Times New Roman"/>
          <w:sz w:val="20"/>
          <w:szCs w:val="20"/>
          <w:lang w:val="it-IT"/>
        </w:rPr>
        <w:t xml:space="preserve">Statista Inc. (2017), </w:t>
      </w:r>
      <w:hyperlink r:id="rId27" w:history="1">
        <w:r w:rsidRPr="00AA6AA8">
          <w:rPr>
            <w:rStyle w:val="Hyperlink"/>
            <w:rFonts w:ascii="Times New Roman" w:hAnsi="Times New Roman" w:cs="Times New Roman"/>
            <w:color w:val="auto"/>
            <w:sz w:val="20"/>
            <w:szCs w:val="20"/>
            <w:u w:val="none"/>
            <w:lang w:val="it-IT"/>
          </w:rPr>
          <w:t>https://www.statista.com</w:t>
        </w:r>
      </w:hyperlink>
    </w:p>
    <w:p w:rsidR="00AC4991" w:rsidRPr="00AA6AA8" w:rsidRDefault="00AC4991">
      <w:pPr>
        <w:rPr>
          <w:rFonts w:ascii="Times New Roman" w:hAnsi="Times New Roman" w:cs="Times New Roman"/>
          <w:b/>
          <w:bCs/>
          <w:sz w:val="20"/>
          <w:szCs w:val="20"/>
          <w:lang w:val="it-IT"/>
        </w:rPr>
      </w:pPr>
    </w:p>
    <w:p w:rsidR="00AC4991" w:rsidRPr="00AA6AA8" w:rsidRDefault="00AC4991">
      <w:pPr>
        <w:rPr>
          <w:rFonts w:ascii="Times New Roman" w:hAnsi="Times New Roman" w:cs="Times New Roman"/>
          <w:b/>
          <w:bCs/>
          <w:sz w:val="20"/>
          <w:szCs w:val="20"/>
          <w:lang w:val="it-IT"/>
        </w:rPr>
      </w:pPr>
    </w:p>
    <w:sectPr w:rsidR="00AC4991" w:rsidRPr="00AA6AA8" w:rsidSect="005B583D">
      <w:pgSz w:w="10319" w:h="14571" w:code="13"/>
      <w:pgMar w:top="1134" w:right="1701"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991" w:rsidRDefault="00AC4991" w:rsidP="00513B27">
      <w:pPr>
        <w:spacing w:after="0" w:line="240" w:lineRule="auto"/>
        <w:rPr>
          <w:rFonts w:cs="Times New Roman"/>
        </w:rPr>
      </w:pPr>
      <w:r>
        <w:rPr>
          <w:rFonts w:cs="Times New Roman"/>
        </w:rPr>
        <w:separator/>
      </w:r>
    </w:p>
  </w:endnote>
  <w:endnote w:type="continuationSeparator" w:id="1">
    <w:p w:rsidR="00AC4991" w:rsidRDefault="00AC4991" w:rsidP="00513B27">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991" w:rsidRDefault="00AC4991" w:rsidP="00513B27">
      <w:pPr>
        <w:spacing w:after="0" w:line="240" w:lineRule="auto"/>
        <w:rPr>
          <w:rFonts w:cs="Times New Roman"/>
        </w:rPr>
      </w:pPr>
      <w:r>
        <w:rPr>
          <w:rFonts w:cs="Times New Roman"/>
        </w:rPr>
        <w:separator/>
      </w:r>
    </w:p>
  </w:footnote>
  <w:footnote w:type="continuationSeparator" w:id="1">
    <w:p w:rsidR="00AC4991" w:rsidRDefault="00AC4991" w:rsidP="00513B27">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67AF3"/>
    <w:multiLevelType w:val="hybridMultilevel"/>
    <w:tmpl w:val="B628BC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F7A675D"/>
    <w:multiLevelType w:val="hybridMultilevel"/>
    <w:tmpl w:val="86D043C0"/>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nsid w:val="183C5DE3"/>
    <w:multiLevelType w:val="hybridMultilevel"/>
    <w:tmpl w:val="DB50247E"/>
    <w:lvl w:ilvl="0" w:tplc="1DF81476">
      <w:start w:val="1"/>
      <w:numFmt w:val="decimal"/>
      <w:lvlText w:val="3.%1."/>
      <w:lvlJc w:val="left"/>
      <w:pPr>
        <w:tabs>
          <w:tab w:val="num" w:pos="1440"/>
        </w:tabs>
        <w:ind w:left="144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C0F2AEE"/>
    <w:multiLevelType w:val="hybridMultilevel"/>
    <w:tmpl w:val="C2C82C8A"/>
    <w:lvl w:ilvl="0" w:tplc="D414C27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4A0564E7"/>
    <w:multiLevelType w:val="hybridMultilevel"/>
    <w:tmpl w:val="23106FC6"/>
    <w:lvl w:ilvl="0" w:tplc="BC884D0C">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4BAF3316"/>
    <w:multiLevelType w:val="multilevel"/>
    <w:tmpl w:val="FDEE247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57F941D7"/>
    <w:multiLevelType w:val="multilevel"/>
    <w:tmpl w:val="2F6CB6E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59487183"/>
    <w:multiLevelType w:val="multilevel"/>
    <w:tmpl w:val="07C214D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5C8E6BC8"/>
    <w:multiLevelType w:val="singleLevel"/>
    <w:tmpl w:val="0409000F"/>
    <w:lvl w:ilvl="0">
      <w:start w:val="1"/>
      <w:numFmt w:val="decimal"/>
      <w:lvlText w:val="%1."/>
      <w:lvlJc w:val="left"/>
      <w:pPr>
        <w:tabs>
          <w:tab w:val="num" w:pos="360"/>
        </w:tabs>
        <w:ind w:left="360" w:hanging="360"/>
      </w:pPr>
      <w:rPr>
        <w:rFonts w:hint="default"/>
      </w:rPr>
    </w:lvl>
  </w:abstractNum>
  <w:abstractNum w:abstractNumId="9">
    <w:nsid w:val="5E7F0854"/>
    <w:multiLevelType w:val="hybridMultilevel"/>
    <w:tmpl w:val="BA0E432C"/>
    <w:lvl w:ilvl="0" w:tplc="0FA217C8">
      <w:start w:val="1"/>
      <w:numFmt w:val="upp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nsid w:val="71594004"/>
    <w:multiLevelType w:val="hybridMultilevel"/>
    <w:tmpl w:val="B15ED958"/>
    <w:lvl w:ilvl="0" w:tplc="0409000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7EB539E9"/>
    <w:multiLevelType w:val="hybridMultilevel"/>
    <w:tmpl w:val="C3680B7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0"/>
  </w:num>
  <w:num w:numId="2">
    <w:abstractNumId w:val="3"/>
  </w:num>
  <w:num w:numId="3">
    <w:abstractNumId w:val="11"/>
  </w:num>
  <w:num w:numId="4">
    <w:abstractNumId w:val="1"/>
  </w:num>
  <w:num w:numId="5">
    <w:abstractNumId w:val="9"/>
  </w:num>
  <w:num w:numId="6">
    <w:abstractNumId w:val="4"/>
  </w:num>
  <w:num w:numId="7">
    <w:abstractNumId w:val="5"/>
  </w:num>
  <w:num w:numId="8">
    <w:abstractNumId w:val="6"/>
  </w:num>
  <w:num w:numId="9">
    <w:abstractNumId w:val="8"/>
  </w:num>
  <w:num w:numId="10">
    <w:abstractNumId w:val="10"/>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027B"/>
    <w:rsid w:val="00000543"/>
    <w:rsid w:val="00006EFD"/>
    <w:rsid w:val="00022262"/>
    <w:rsid w:val="0002359D"/>
    <w:rsid w:val="00046B08"/>
    <w:rsid w:val="00057D05"/>
    <w:rsid w:val="000617D6"/>
    <w:rsid w:val="00071B88"/>
    <w:rsid w:val="00072923"/>
    <w:rsid w:val="000730AC"/>
    <w:rsid w:val="00077774"/>
    <w:rsid w:val="00083C86"/>
    <w:rsid w:val="000852C5"/>
    <w:rsid w:val="00085FAA"/>
    <w:rsid w:val="00086766"/>
    <w:rsid w:val="00090D10"/>
    <w:rsid w:val="00090D24"/>
    <w:rsid w:val="00095A22"/>
    <w:rsid w:val="00096D44"/>
    <w:rsid w:val="000A2639"/>
    <w:rsid w:val="000A4D01"/>
    <w:rsid w:val="000A6F5B"/>
    <w:rsid w:val="000A7F29"/>
    <w:rsid w:val="000B0979"/>
    <w:rsid w:val="000B21C7"/>
    <w:rsid w:val="000B2291"/>
    <w:rsid w:val="000B32A0"/>
    <w:rsid w:val="000C2C09"/>
    <w:rsid w:val="000C3F4D"/>
    <w:rsid w:val="000C40F6"/>
    <w:rsid w:val="000D32E6"/>
    <w:rsid w:val="000E04F2"/>
    <w:rsid w:val="000E2C4D"/>
    <w:rsid w:val="000E36B6"/>
    <w:rsid w:val="000E6AA7"/>
    <w:rsid w:val="0010157B"/>
    <w:rsid w:val="00105A23"/>
    <w:rsid w:val="00106D92"/>
    <w:rsid w:val="001112EC"/>
    <w:rsid w:val="0011333C"/>
    <w:rsid w:val="001170AC"/>
    <w:rsid w:val="0011730C"/>
    <w:rsid w:val="0012008A"/>
    <w:rsid w:val="00142735"/>
    <w:rsid w:val="00142CEB"/>
    <w:rsid w:val="0015694E"/>
    <w:rsid w:val="00160D2C"/>
    <w:rsid w:val="00164573"/>
    <w:rsid w:val="00165A02"/>
    <w:rsid w:val="00166A61"/>
    <w:rsid w:val="0016740C"/>
    <w:rsid w:val="0016791E"/>
    <w:rsid w:val="00176716"/>
    <w:rsid w:val="00183C25"/>
    <w:rsid w:val="00185C82"/>
    <w:rsid w:val="00185EA2"/>
    <w:rsid w:val="0019222C"/>
    <w:rsid w:val="00196407"/>
    <w:rsid w:val="001A6DAA"/>
    <w:rsid w:val="001B2882"/>
    <w:rsid w:val="001B35CC"/>
    <w:rsid w:val="001B48E9"/>
    <w:rsid w:val="001D4791"/>
    <w:rsid w:val="001E5048"/>
    <w:rsid w:val="001E670E"/>
    <w:rsid w:val="001F243B"/>
    <w:rsid w:val="001F5946"/>
    <w:rsid w:val="001F595A"/>
    <w:rsid w:val="0020100F"/>
    <w:rsid w:val="00202083"/>
    <w:rsid w:val="00204720"/>
    <w:rsid w:val="00205DDA"/>
    <w:rsid w:val="00214C21"/>
    <w:rsid w:val="0022220F"/>
    <w:rsid w:val="00225319"/>
    <w:rsid w:val="002276B6"/>
    <w:rsid w:val="002365F5"/>
    <w:rsid w:val="0023661C"/>
    <w:rsid w:val="00236D50"/>
    <w:rsid w:val="00243E56"/>
    <w:rsid w:val="00245328"/>
    <w:rsid w:val="00245547"/>
    <w:rsid w:val="00247224"/>
    <w:rsid w:val="002565C8"/>
    <w:rsid w:val="00262769"/>
    <w:rsid w:val="00271D04"/>
    <w:rsid w:val="00275CCF"/>
    <w:rsid w:val="002855C3"/>
    <w:rsid w:val="002930CC"/>
    <w:rsid w:val="0029693C"/>
    <w:rsid w:val="002A31FA"/>
    <w:rsid w:val="002A6988"/>
    <w:rsid w:val="002B024F"/>
    <w:rsid w:val="002C1304"/>
    <w:rsid w:val="002C2625"/>
    <w:rsid w:val="002E23BA"/>
    <w:rsid w:val="002E3EF6"/>
    <w:rsid w:val="002E64D4"/>
    <w:rsid w:val="002E7EC1"/>
    <w:rsid w:val="00302C0D"/>
    <w:rsid w:val="00304007"/>
    <w:rsid w:val="00304796"/>
    <w:rsid w:val="00321E78"/>
    <w:rsid w:val="00322EFD"/>
    <w:rsid w:val="003238DD"/>
    <w:rsid w:val="00326037"/>
    <w:rsid w:val="003325C1"/>
    <w:rsid w:val="00332CA0"/>
    <w:rsid w:val="00342DDF"/>
    <w:rsid w:val="00347364"/>
    <w:rsid w:val="00347DC6"/>
    <w:rsid w:val="00351226"/>
    <w:rsid w:val="00357C49"/>
    <w:rsid w:val="00363F20"/>
    <w:rsid w:val="003662A8"/>
    <w:rsid w:val="00366499"/>
    <w:rsid w:val="00373787"/>
    <w:rsid w:val="003766D5"/>
    <w:rsid w:val="00380FB7"/>
    <w:rsid w:val="00387E97"/>
    <w:rsid w:val="0039220C"/>
    <w:rsid w:val="0039433A"/>
    <w:rsid w:val="003963F1"/>
    <w:rsid w:val="003A6B35"/>
    <w:rsid w:val="003B6842"/>
    <w:rsid w:val="003C1989"/>
    <w:rsid w:val="003D7FA5"/>
    <w:rsid w:val="003E6E0C"/>
    <w:rsid w:val="003E7534"/>
    <w:rsid w:val="003E7736"/>
    <w:rsid w:val="003F421C"/>
    <w:rsid w:val="003F7E7B"/>
    <w:rsid w:val="004005B4"/>
    <w:rsid w:val="00401BE5"/>
    <w:rsid w:val="00403DD0"/>
    <w:rsid w:val="0040635F"/>
    <w:rsid w:val="00414FD2"/>
    <w:rsid w:val="0041597A"/>
    <w:rsid w:val="00422BAF"/>
    <w:rsid w:val="00426526"/>
    <w:rsid w:val="00431041"/>
    <w:rsid w:val="004325B5"/>
    <w:rsid w:val="00446CAF"/>
    <w:rsid w:val="004537E0"/>
    <w:rsid w:val="00454629"/>
    <w:rsid w:val="004556CB"/>
    <w:rsid w:val="00455C55"/>
    <w:rsid w:val="00464B10"/>
    <w:rsid w:val="004654A4"/>
    <w:rsid w:val="00465DB2"/>
    <w:rsid w:val="00477FB9"/>
    <w:rsid w:val="00484925"/>
    <w:rsid w:val="00486343"/>
    <w:rsid w:val="004A093A"/>
    <w:rsid w:val="004A0F3E"/>
    <w:rsid w:val="004B468B"/>
    <w:rsid w:val="004C06B6"/>
    <w:rsid w:val="004C1012"/>
    <w:rsid w:val="004C3C8C"/>
    <w:rsid w:val="004C6966"/>
    <w:rsid w:val="004D4471"/>
    <w:rsid w:val="004E1AD3"/>
    <w:rsid w:val="004E3A4C"/>
    <w:rsid w:val="004F4586"/>
    <w:rsid w:val="004F4831"/>
    <w:rsid w:val="004F660D"/>
    <w:rsid w:val="004F7D34"/>
    <w:rsid w:val="00505E50"/>
    <w:rsid w:val="0050631F"/>
    <w:rsid w:val="005072E2"/>
    <w:rsid w:val="0051157C"/>
    <w:rsid w:val="00512B17"/>
    <w:rsid w:val="00513B27"/>
    <w:rsid w:val="005161FD"/>
    <w:rsid w:val="00517DC4"/>
    <w:rsid w:val="00522E9C"/>
    <w:rsid w:val="00531D02"/>
    <w:rsid w:val="00531DC5"/>
    <w:rsid w:val="005334F6"/>
    <w:rsid w:val="00533C0B"/>
    <w:rsid w:val="00533CC0"/>
    <w:rsid w:val="0053531B"/>
    <w:rsid w:val="005447DF"/>
    <w:rsid w:val="00545948"/>
    <w:rsid w:val="00550FB6"/>
    <w:rsid w:val="00551462"/>
    <w:rsid w:val="0055465E"/>
    <w:rsid w:val="0057455C"/>
    <w:rsid w:val="005767E4"/>
    <w:rsid w:val="00585B70"/>
    <w:rsid w:val="00590469"/>
    <w:rsid w:val="00597F88"/>
    <w:rsid w:val="005A6E0E"/>
    <w:rsid w:val="005A750D"/>
    <w:rsid w:val="005B2AB5"/>
    <w:rsid w:val="005B583D"/>
    <w:rsid w:val="005C4DAC"/>
    <w:rsid w:val="005C5055"/>
    <w:rsid w:val="005D14FC"/>
    <w:rsid w:val="005D56A9"/>
    <w:rsid w:val="005E0275"/>
    <w:rsid w:val="005E23B0"/>
    <w:rsid w:val="005E69C7"/>
    <w:rsid w:val="005E7595"/>
    <w:rsid w:val="005F0CCF"/>
    <w:rsid w:val="005F1F23"/>
    <w:rsid w:val="00604D2B"/>
    <w:rsid w:val="006121E4"/>
    <w:rsid w:val="00616481"/>
    <w:rsid w:val="006173CD"/>
    <w:rsid w:val="0062444A"/>
    <w:rsid w:val="0063147D"/>
    <w:rsid w:val="00631A22"/>
    <w:rsid w:val="00632B5F"/>
    <w:rsid w:val="006358D5"/>
    <w:rsid w:val="006415C2"/>
    <w:rsid w:val="0065081A"/>
    <w:rsid w:val="006546FD"/>
    <w:rsid w:val="006547DB"/>
    <w:rsid w:val="006626DC"/>
    <w:rsid w:val="00665524"/>
    <w:rsid w:val="00671D85"/>
    <w:rsid w:val="006734A2"/>
    <w:rsid w:val="00677755"/>
    <w:rsid w:val="006932C1"/>
    <w:rsid w:val="006B0A17"/>
    <w:rsid w:val="006B1579"/>
    <w:rsid w:val="006B3589"/>
    <w:rsid w:val="006B7D6D"/>
    <w:rsid w:val="006C1756"/>
    <w:rsid w:val="006C3088"/>
    <w:rsid w:val="006C4946"/>
    <w:rsid w:val="006C6D1D"/>
    <w:rsid w:val="006D6B3F"/>
    <w:rsid w:val="006D73DC"/>
    <w:rsid w:val="006D767D"/>
    <w:rsid w:val="006F61A7"/>
    <w:rsid w:val="00705FDA"/>
    <w:rsid w:val="00714FC3"/>
    <w:rsid w:val="00717C13"/>
    <w:rsid w:val="00726753"/>
    <w:rsid w:val="00732CD8"/>
    <w:rsid w:val="00741D43"/>
    <w:rsid w:val="00746308"/>
    <w:rsid w:val="00753A17"/>
    <w:rsid w:val="00761708"/>
    <w:rsid w:val="0076280C"/>
    <w:rsid w:val="00763567"/>
    <w:rsid w:val="007657E7"/>
    <w:rsid w:val="00775E72"/>
    <w:rsid w:val="00776319"/>
    <w:rsid w:val="007804CC"/>
    <w:rsid w:val="007836F9"/>
    <w:rsid w:val="007841D0"/>
    <w:rsid w:val="00785519"/>
    <w:rsid w:val="00787586"/>
    <w:rsid w:val="00787B97"/>
    <w:rsid w:val="00790C3C"/>
    <w:rsid w:val="00792F77"/>
    <w:rsid w:val="007A14F9"/>
    <w:rsid w:val="007B588D"/>
    <w:rsid w:val="007C3276"/>
    <w:rsid w:val="007E7BEE"/>
    <w:rsid w:val="00805B10"/>
    <w:rsid w:val="00810F5D"/>
    <w:rsid w:val="00814A93"/>
    <w:rsid w:val="008220DC"/>
    <w:rsid w:val="00823193"/>
    <w:rsid w:val="008234C2"/>
    <w:rsid w:val="0083164C"/>
    <w:rsid w:val="00840600"/>
    <w:rsid w:val="00842C8C"/>
    <w:rsid w:val="00845567"/>
    <w:rsid w:val="00853834"/>
    <w:rsid w:val="00862490"/>
    <w:rsid w:val="00871218"/>
    <w:rsid w:val="00883A76"/>
    <w:rsid w:val="00884435"/>
    <w:rsid w:val="00887ECB"/>
    <w:rsid w:val="008908CE"/>
    <w:rsid w:val="008956AE"/>
    <w:rsid w:val="00896CAE"/>
    <w:rsid w:val="008B027B"/>
    <w:rsid w:val="008B5327"/>
    <w:rsid w:val="008C772E"/>
    <w:rsid w:val="008C7F7F"/>
    <w:rsid w:val="008D63A0"/>
    <w:rsid w:val="008E0043"/>
    <w:rsid w:val="00901E3E"/>
    <w:rsid w:val="009020E4"/>
    <w:rsid w:val="009027B3"/>
    <w:rsid w:val="00902B06"/>
    <w:rsid w:val="009214AA"/>
    <w:rsid w:val="009366DD"/>
    <w:rsid w:val="00937E73"/>
    <w:rsid w:val="00937FA1"/>
    <w:rsid w:val="00943096"/>
    <w:rsid w:val="009537BD"/>
    <w:rsid w:val="0095426A"/>
    <w:rsid w:val="00956487"/>
    <w:rsid w:val="00956872"/>
    <w:rsid w:val="00956E7C"/>
    <w:rsid w:val="009642C0"/>
    <w:rsid w:val="00966833"/>
    <w:rsid w:val="00970B25"/>
    <w:rsid w:val="00972194"/>
    <w:rsid w:val="009732B9"/>
    <w:rsid w:val="0099744E"/>
    <w:rsid w:val="009A2349"/>
    <w:rsid w:val="009C0269"/>
    <w:rsid w:val="009C1F32"/>
    <w:rsid w:val="009C6231"/>
    <w:rsid w:val="009D3B84"/>
    <w:rsid w:val="009D4B52"/>
    <w:rsid w:val="009D69B5"/>
    <w:rsid w:val="009E77A8"/>
    <w:rsid w:val="009F0401"/>
    <w:rsid w:val="009F6849"/>
    <w:rsid w:val="009F7447"/>
    <w:rsid w:val="00A00ECC"/>
    <w:rsid w:val="00A03E09"/>
    <w:rsid w:val="00A05F54"/>
    <w:rsid w:val="00A063E5"/>
    <w:rsid w:val="00A14493"/>
    <w:rsid w:val="00A15675"/>
    <w:rsid w:val="00A16093"/>
    <w:rsid w:val="00A164B0"/>
    <w:rsid w:val="00A16BC1"/>
    <w:rsid w:val="00A203ED"/>
    <w:rsid w:val="00A254CF"/>
    <w:rsid w:val="00A27B1D"/>
    <w:rsid w:val="00A309CF"/>
    <w:rsid w:val="00A322A7"/>
    <w:rsid w:val="00A3405C"/>
    <w:rsid w:val="00A3463E"/>
    <w:rsid w:val="00A34A24"/>
    <w:rsid w:val="00A42CF4"/>
    <w:rsid w:val="00A42D45"/>
    <w:rsid w:val="00A43946"/>
    <w:rsid w:val="00A44CE1"/>
    <w:rsid w:val="00A466CF"/>
    <w:rsid w:val="00A64BBC"/>
    <w:rsid w:val="00A66253"/>
    <w:rsid w:val="00A67F67"/>
    <w:rsid w:val="00A71755"/>
    <w:rsid w:val="00A8621E"/>
    <w:rsid w:val="00A9464A"/>
    <w:rsid w:val="00A95ADD"/>
    <w:rsid w:val="00AA1236"/>
    <w:rsid w:val="00AA3A3B"/>
    <w:rsid w:val="00AA3F40"/>
    <w:rsid w:val="00AA4093"/>
    <w:rsid w:val="00AA4A86"/>
    <w:rsid w:val="00AA6AA8"/>
    <w:rsid w:val="00AA6DBB"/>
    <w:rsid w:val="00AB5AE4"/>
    <w:rsid w:val="00AB5B14"/>
    <w:rsid w:val="00AB60B8"/>
    <w:rsid w:val="00AB6101"/>
    <w:rsid w:val="00AC4991"/>
    <w:rsid w:val="00AD2C36"/>
    <w:rsid w:val="00AD64B7"/>
    <w:rsid w:val="00AD75B9"/>
    <w:rsid w:val="00AE64DD"/>
    <w:rsid w:val="00AF74E2"/>
    <w:rsid w:val="00B02622"/>
    <w:rsid w:val="00B03466"/>
    <w:rsid w:val="00B036CC"/>
    <w:rsid w:val="00B05544"/>
    <w:rsid w:val="00B213AF"/>
    <w:rsid w:val="00B221A4"/>
    <w:rsid w:val="00B27E04"/>
    <w:rsid w:val="00B37F0D"/>
    <w:rsid w:val="00B41C92"/>
    <w:rsid w:val="00B42732"/>
    <w:rsid w:val="00B449B6"/>
    <w:rsid w:val="00B46045"/>
    <w:rsid w:val="00B53800"/>
    <w:rsid w:val="00B570E0"/>
    <w:rsid w:val="00B6419D"/>
    <w:rsid w:val="00B665D2"/>
    <w:rsid w:val="00B81778"/>
    <w:rsid w:val="00B822C7"/>
    <w:rsid w:val="00B8236C"/>
    <w:rsid w:val="00B82831"/>
    <w:rsid w:val="00B83E59"/>
    <w:rsid w:val="00B926B4"/>
    <w:rsid w:val="00B94AFC"/>
    <w:rsid w:val="00B958F4"/>
    <w:rsid w:val="00BB0464"/>
    <w:rsid w:val="00BB2DAC"/>
    <w:rsid w:val="00BB42D3"/>
    <w:rsid w:val="00BB64F0"/>
    <w:rsid w:val="00BD314F"/>
    <w:rsid w:val="00BE75F6"/>
    <w:rsid w:val="00BF0061"/>
    <w:rsid w:val="00C01438"/>
    <w:rsid w:val="00C04A1C"/>
    <w:rsid w:val="00C051BA"/>
    <w:rsid w:val="00C069BD"/>
    <w:rsid w:val="00C1273D"/>
    <w:rsid w:val="00C15EF3"/>
    <w:rsid w:val="00C20639"/>
    <w:rsid w:val="00C2328C"/>
    <w:rsid w:val="00C253CB"/>
    <w:rsid w:val="00C26E2E"/>
    <w:rsid w:val="00C3398D"/>
    <w:rsid w:val="00C35C5C"/>
    <w:rsid w:val="00C41349"/>
    <w:rsid w:val="00C50AA1"/>
    <w:rsid w:val="00C50F55"/>
    <w:rsid w:val="00C5145B"/>
    <w:rsid w:val="00C62736"/>
    <w:rsid w:val="00C66FF3"/>
    <w:rsid w:val="00C673CD"/>
    <w:rsid w:val="00C67659"/>
    <w:rsid w:val="00C70F70"/>
    <w:rsid w:val="00C710F4"/>
    <w:rsid w:val="00C80F4C"/>
    <w:rsid w:val="00C812B4"/>
    <w:rsid w:val="00C86F64"/>
    <w:rsid w:val="00C97AE4"/>
    <w:rsid w:val="00CA1067"/>
    <w:rsid w:val="00CA2FA4"/>
    <w:rsid w:val="00CB0197"/>
    <w:rsid w:val="00CB6617"/>
    <w:rsid w:val="00CB7A9D"/>
    <w:rsid w:val="00CC7F7D"/>
    <w:rsid w:val="00CD0959"/>
    <w:rsid w:val="00CD2108"/>
    <w:rsid w:val="00CD367B"/>
    <w:rsid w:val="00CE0DF0"/>
    <w:rsid w:val="00CE3ED6"/>
    <w:rsid w:val="00CE4770"/>
    <w:rsid w:val="00CE5F59"/>
    <w:rsid w:val="00CF6E4B"/>
    <w:rsid w:val="00D07CC6"/>
    <w:rsid w:val="00D15667"/>
    <w:rsid w:val="00D22FBB"/>
    <w:rsid w:val="00D239AF"/>
    <w:rsid w:val="00D27390"/>
    <w:rsid w:val="00D402C7"/>
    <w:rsid w:val="00D47092"/>
    <w:rsid w:val="00D4737E"/>
    <w:rsid w:val="00D509CF"/>
    <w:rsid w:val="00D55E0F"/>
    <w:rsid w:val="00D5781A"/>
    <w:rsid w:val="00D604EF"/>
    <w:rsid w:val="00D605D4"/>
    <w:rsid w:val="00D63422"/>
    <w:rsid w:val="00D64DDC"/>
    <w:rsid w:val="00D71A24"/>
    <w:rsid w:val="00D72D6F"/>
    <w:rsid w:val="00D77A4C"/>
    <w:rsid w:val="00D80309"/>
    <w:rsid w:val="00D82A70"/>
    <w:rsid w:val="00D8744A"/>
    <w:rsid w:val="00D90B0E"/>
    <w:rsid w:val="00D91DC3"/>
    <w:rsid w:val="00D939BF"/>
    <w:rsid w:val="00DA1D42"/>
    <w:rsid w:val="00DA5090"/>
    <w:rsid w:val="00DB4F67"/>
    <w:rsid w:val="00DD418F"/>
    <w:rsid w:val="00DE08A0"/>
    <w:rsid w:val="00DE16D6"/>
    <w:rsid w:val="00DE6D56"/>
    <w:rsid w:val="00DE71FB"/>
    <w:rsid w:val="00DF069C"/>
    <w:rsid w:val="00DF2542"/>
    <w:rsid w:val="00DF6A1F"/>
    <w:rsid w:val="00E06F90"/>
    <w:rsid w:val="00E0770B"/>
    <w:rsid w:val="00E131C9"/>
    <w:rsid w:val="00E2186E"/>
    <w:rsid w:val="00E250A3"/>
    <w:rsid w:val="00E26F7C"/>
    <w:rsid w:val="00E33A2A"/>
    <w:rsid w:val="00E411D5"/>
    <w:rsid w:val="00E506B2"/>
    <w:rsid w:val="00E50E42"/>
    <w:rsid w:val="00E56F2D"/>
    <w:rsid w:val="00E60E80"/>
    <w:rsid w:val="00E650A2"/>
    <w:rsid w:val="00E76CAD"/>
    <w:rsid w:val="00E7702F"/>
    <w:rsid w:val="00E82CA1"/>
    <w:rsid w:val="00E83DC0"/>
    <w:rsid w:val="00E840F2"/>
    <w:rsid w:val="00E844AC"/>
    <w:rsid w:val="00E91424"/>
    <w:rsid w:val="00E94202"/>
    <w:rsid w:val="00E946A8"/>
    <w:rsid w:val="00EA38CE"/>
    <w:rsid w:val="00EB4A0E"/>
    <w:rsid w:val="00EB6975"/>
    <w:rsid w:val="00ED7130"/>
    <w:rsid w:val="00EE32B3"/>
    <w:rsid w:val="00EE6B0C"/>
    <w:rsid w:val="00EF0D2C"/>
    <w:rsid w:val="00F04A5E"/>
    <w:rsid w:val="00F06B46"/>
    <w:rsid w:val="00F11DE9"/>
    <w:rsid w:val="00F14A6E"/>
    <w:rsid w:val="00F3633D"/>
    <w:rsid w:val="00F36DA3"/>
    <w:rsid w:val="00F420F3"/>
    <w:rsid w:val="00F45C7E"/>
    <w:rsid w:val="00F4690C"/>
    <w:rsid w:val="00F472E9"/>
    <w:rsid w:val="00F50574"/>
    <w:rsid w:val="00F608E7"/>
    <w:rsid w:val="00F62774"/>
    <w:rsid w:val="00F6726A"/>
    <w:rsid w:val="00F851C0"/>
    <w:rsid w:val="00FB5905"/>
    <w:rsid w:val="00FC004A"/>
    <w:rsid w:val="00FC12B4"/>
    <w:rsid w:val="00FC6B0F"/>
    <w:rsid w:val="00FC771B"/>
    <w:rsid w:val="00FD0EE5"/>
    <w:rsid w:val="00FD299A"/>
    <w:rsid w:val="00FD4386"/>
    <w:rsid w:val="00FE7B30"/>
    <w:rsid w:val="00FF0545"/>
    <w:rsid w:val="00FF7E7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9CF"/>
    <w:pPr>
      <w:spacing w:after="200" w:line="276" w:lineRule="auto"/>
    </w:pPr>
    <w:rPr>
      <w:rFonts w:eastAsia="Times New Roman" w:cs="Calibri"/>
    </w:rPr>
  </w:style>
  <w:style w:type="paragraph" w:styleId="Heading1">
    <w:name w:val="heading 1"/>
    <w:basedOn w:val="Normal"/>
    <w:next w:val="Normal"/>
    <w:link w:val="Heading1Char"/>
    <w:uiPriority w:val="99"/>
    <w:qFormat/>
    <w:locked/>
    <w:rsid w:val="006D73DC"/>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9"/>
    <w:qFormat/>
    <w:locked/>
    <w:rsid w:val="00C41349"/>
    <w:pPr>
      <w:spacing w:before="100" w:beforeAutospacing="1" w:after="100" w:afterAutospacing="1" w:line="240" w:lineRule="auto"/>
      <w:outlineLvl w:val="1"/>
    </w:pPr>
    <w:rPr>
      <w:rFonts w:ascii="Times New Roman" w:hAnsi="Times New Roman" w:cs="Times New Roman"/>
      <w:b/>
      <w:bCs/>
      <w:sz w:val="36"/>
      <w:szCs w:val="36"/>
    </w:rPr>
  </w:style>
  <w:style w:type="paragraph" w:styleId="Heading3">
    <w:name w:val="heading 3"/>
    <w:basedOn w:val="Normal"/>
    <w:next w:val="Normal"/>
    <w:link w:val="Heading3Char"/>
    <w:uiPriority w:val="99"/>
    <w:qFormat/>
    <w:locked/>
    <w:rsid w:val="0095426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AA3A3B"/>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Pr>
      <w:rFonts w:ascii="Cambria" w:hAnsi="Cambria" w:cs="Cambria"/>
      <w:b/>
      <w:bCs/>
      <w:sz w:val="26"/>
      <w:szCs w:val="26"/>
    </w:rPr>
  </w:style>
  <w:style w:type="character" w:customStyle="1" w:styleId="Heading4Char">
    <w:name w:val="Heading 4 Char"/>
    <w:basedOn w:val="DefaultParagraphFont"/>
    <w:link w:val="Heading4"/>
    <w:uiPriority w:val="99"/>
    <w:semiHidden/>
    <w:locked/>
    <w:rPr>
      <w:rFonts w:ascii="Calibri" w:hAnsi="Calibri" w:cs="Calibri"/>
      <w:b/>
      <w:bCs/>
      <w:sz w:val="28"/>
      <w:szCs w:val="28"/>
    </w:rPr>
  </w:style>
  <w:style w:type="paragraph" w:customStyle="1" w:styleId="ListParagraph1">
    <w:name w:val="List Paragraph1"/>
    <w:basedOn w:val="Normal"/>
    <w:uiPriority w:val="99"/>
    <w:rsid w:val="005072E2"/>
    <w:pPr>
      <w:ind w:left="720"/>
    </w:pPr>
  </w:style>
  <w:style w:type="paragraph" w:styleId="FootnoteText">
    <w:name w:val="footnote text"/>
    <w:basedOn w:val="Normal"/>
    <w:link w:val="FootnoteTextChar"/>
    <w:uiPriority w:val="99"/>
    <w:semiHidden/>
    <w:rsid w:val="00513B27"/>
    <w:pPr>
      <w:spacing w:after="0" w:line="240" w:lineRule="auto"/>
    </w:pPr>
    <w:rPr>
      <w:rFonts w:eastAsia="Calibri"/>
      <w:sz w:val="20"/>
      <w:szCs w:val="20"/>
    </w:rPr>
  </w:style>
  <w:style w:type="character" w:customStyle="1" w:styleId="FootnoteTextChar">
    <w:name w:val="Footnote Text Char"/>
    <w:basedOn w:val="DefaultParagraphFont"/>
    <w:link w:val="FootnoteText"/>
    <w:uiPriority w:val="99"/>
    <w:semiHidden/>
    <w:locked/>
    <w:rsid w:val="00513B27"/>
    <w:rPr>
      <w:sz w:val="20"/>
      <w:szCs w:val="20"/>
    </w:rPr>
  </w:style>
  <w:style w:type="character" w:styleId="FootnoteReference">
    <w:name w:val="footnote reference"/>
    <w:basedOn w:val="DefaultParagraphFont"/>
    <w:uiPriority w:val="99"/>
    <w:semiHidden/>
    <w:rsid w:val="00513B27"/>
    <w:rPr>
      <w:vertAlign w:val="superscript"/>
    </w:rPr>
  </w:style>
  <w:style w:type="paragraph" w:styleId="EndnoteText">
    <w:name w:val="endnote text"/>
    <w:basedOn w:val="Normal"/>
    <w:link w:val="EndnoteTextChar"/>
    <w:uiPriority w:val="99"/>
    <w:semiHidden/>
    <w:rsid w:val="008C772E"/>
    <w:pPr>
      <w:spacing w:after="0" w:line="240" w:lineRule="auto"/>
    </w:pPr>
    <w:rPr>
      <w:rFonts w:eastAsia="Calibri"/>
      <w:sz w:val="20"/>
      <w:szCs w:val="20"/>
    </w:rPr>
  </w:style>
  <w:style w:type="character" w:customStyle="1" w:styleId="EndnoteTextChar">
    <w:name w:val="Endnote Text Char"/>
    <w:basedOn w:val="DefaultParagraphFont"/>
    <w:link w:val="EndnoteText"/>
    <w:uiPriority w:val="99"/>
    <w:semiHidden/>
    <w:locked/>
    <w:rsid w:val="008C772E"/>
    <w:rPr>
      <w:sz w:val="20"/>
      <w:szCs w:val="20"/>
    </w:rPr>
  </w:style>
  <w:style w:type="character" w:styleId="EndnoteReference">
    <w:name w:val="endnote reference"/>
    <w:basedOn w:val="DefaultParagraphFont"/>
    <w:uiPriority w:val="99"/>
    <w:semiHidden/>
    <w:rsid w:val="008C772E"/>
    <w:rPr>
      <w:vertAlign w:val="superscript"/>
    </w:rPr>
  </w:style>
  <w:style w:type="table" w:styleId="TableGrid">
    <w:name w:val="Table Grid"/>
    <w:basedOn w:val="TableNormal"/>
    <w:uiPriority w:val="99"/>
    <w:rsid w:val="008C7F7F"/>
    <w:rPr>
      <w:rFonts w:eastAsia="Times New Roman"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C7F7F"/>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8C7F7F"/>
    <w:rPr>
      <w:rFonts w:ascii="Tahoma" w:hAnsi="Tahoma" w:cs="Tahoma"/>
      <w:sz w:val="16"/>
      <w:szCs w:val="16"/>
    </w:rPr>
  </w:style>
  <w:style w:type="character" w:styleId="Hyperlink">
    <w:name w:val="Hyperlink"/>
    <w:basedOn w:val="DefaultParagraphFont"/>
    <w:uiPriority w:val="99"/>
    <w:rsid w:val="009214AA"/>
    <w:rPr>
      <w:color w:val="0000FF"/>
      <w:u w:val="single"/>
    </w:rPr>
  </w:style>
  <w:style w:type="paragraph" w:styleId="Title">
    <w:name w:val="Title"/>
    <w:basedOn w:val="Normal"/>
    <w:link w:val="TitleChar"/>
    <w:uiPriority w:val="99"/>
    <w:qFormat/>
    <w:locked/>
    <w:rsid w:val="00A27B1D"/>
    <w:pPr>
      <w:spacing w:after="0" w:line="240" w:lineRule="auto"/>
      <w:jc w:val="center"/>
    </w:pPr>
    <w:rPr>
      <w:rFonts w:ascii="Times New Roman" w:hAnsi="Times New Roman" w:cs="Times New Roman"/>
      <w:b/>
      <w:bCs/>
      <w:sz w:val="24"/>
      <w:szCs w:val="24"/>
    </w:rPr>
  </w:style>
  <w:style w:type="character" w:customStyle="1" w:styleId="TitleChar">
    <w:name w:val="Title Char"/>
    <w:basedOn w:val="DefaultParagraphFont"/>
    <w:link w:val="Title"/>
    <w:uiPriority w:val="99"/>
    <w:locked/>
    <w:rsid w:val="00A27B1D"/>
    <w:rPr>
      <w:rFonts w:ascii="Times New Roman" w:hAnsi="Times New Roman" w:cs="Times New Roman"/>
      <w:b/>
      <w:bCs/>
      <w:sz w:val="24"/>
      <w:szCs w:val="24"/>
      <w:lang w:eastAsia="en-US"/>
    </w:rPr>
  </w:style>
  <w:style w:type="paragraph" w:styleId="NormalWeb">
    <w:name w:val="Normal (Web)"/>
    <w:basedOn w:val="Normal"/>
    <w:uiPriority w:val="99"/>
    <w:rsid w:val="00B05544"/>
    <w:pPr>
      <w:spacing w:before="100" w:beforeAutospacing="1" w:after="100" w:afterAutospacing="1" w:line="240" w:lineRule="auto"/>
    </w:pPr>
    <w:rPr>
      <w:rFonts w:ascii="Times New Roman" w:hAnsi="Times New Roman" w:cs="Times New Roman"/>
      <w:sz w:val="24"/>
      <w:szCs w:val="24"/>
    </w:rPr>
  </w:style>
  <w:style w:type="character" w:customStyle="1" w:styleId="flagicon">
    <w:name w:val="flagicon"/>
    <w:basedOn w:val="DefaultParagraphFont"/>
    <w:uiPriority w:val="99"/>
    <w:rsid w:val="00B05544"/>
  </w:style>
  <w:style w:type="character" w:customStyle="1" w:styleId="longtext">
    <w:name w:val="long_text"/>
    <w:basedOn w:val="DefaultParagraphFont"/>
    <w:uiPriority w:val="99"/>
    <w:rsid w:val="00D402C7"/>
  </w:style>
  <w:style w:type="paragraph" w:customStyle="1" w:styleId="Char">
    <w:name w:val="Char"/>
    <w:basedOn w:val="Normal"/>
    <w:uiPriority w:val="99"/>
    <w:rsid w:val="00937E73"/>
    <w:pPr>
      <w:widowControl w:val="0"/>
      <w:spacing w:after="0" w:line="280" w:lineRule="atLeast"/>
    </w:pPr>
    <w:rPr>
      <w:rFonts w:ascii="Times New Roman" w:eastAsia="MS Mincho" w:hAnsi="Times New Roman" w:cs="Times New Roman"/>
      <w:lang w:val="en-GB" w:eastAsia="en-GB"/>
    </w:rPr>
  </w:style>
  <w:style w:type="character" w:customStyle="1" w:styleId="hps">
    <w:name w:val="hps"/>
    <w:basedOn w:val="DefaultParagraphFont"/>
    <w:uiPriority w:val="99"/>
    <w:rsid w:val="00937E73"/>
  </w:style>
  <w:style w:type="character" w:styleId="Emphasis">
    <w:name w:val="Emphasis"/>
    <w:basedOn w:val="DefaultParagraphFont"/>
    <w:uiPriority w:val="99"/>
    <w:qFormat/>
    <w:locked/>
    <w:rsid w:val="00956872"/>
    <w:rPr>
      <w:i/>
      <w:iCs/>
    </w:rPr>
  </w:style>
  <w:style w:type="character" w:styleId="Strong">
    <w:name w:val="Strong"/>
    <w:basedOn w:val="DefaultParagraphFont"/>
    <w:uiPriority w:val="99"/>
    <w:qFormat/>
    <w:locked/>
    <w:rsid w:val="00C41349"/>
    <w:rPr>
      <w:b/>
      <w:bCs/>
    </w:rPr>
  </w:style>
  <w:style w:type="character" w:customStyle="1" w:styleId="apple-converted-space">
    <w:name w:val="apple-converted-space"/>
    <w:basedOn w:val="DefaultParagraphFont"/>
    <w:uiPriority w:val="99"/>
    <w:rsid w:val="00883A76"/>
  </w:style>
  <w:style w:type="paragraph" w:customStyle="1" w:styleId="b">
    <w:name w:val="b"/>
    <w:uiPriority w:val="99"/>
    <w:rsid w:val="00871218"/>
    <w:pPr>
      <w:spacing w:before="840"/>
    </w:pPr>
    <w:rPr>
      <w:rFonts w:ascii="Arial" w:eastAsia="Times New Roman" w:hAnsi="Arial" w:cs="Arial"/>
      <w:b/>
      <w:bCs/>
      <w:noProof/>
      <w:sz w:val="24"/>
      <w:szCs w:val="24"/>
      <w:lang w:val="en-GB"/>
    </w:rPr>
  </w:style>
  <w:style w:type="paragraph" w:customStyle="1" w:styleId="CharChar4CharChar">
    <w:name w:val="Char Char4 Char Char"/>
    <w:basedOn w:val="Normal"/>
    <w:uiPriority w:val="99"/>
    <w:rsid w:val="006547DB"/>
    <w:pPr>
      <w:widowControl w:val="0"/>
      <w:spacing w:after="0" w:line="280" w:lineRule="atLeast"/>
    </w:pPr>
    <w:rPr>
      <w:rFonts w:ascii="Times New Roman" w:eastAsia="MS Mincho" w:hAnsi="Times New Roman" w:cs="Times New Roman"/>
      <w:lang w:val="en-GB" w:eastAsia="en-GB"/>
    </w:rPr>
  </w:style>
</w:styles>
</file>

<file path=word/webSettings.xml><?xml version="1.0" encoding="utf-8"?>
<w:webSettings xmlns:r="http://schemas.openxmlformats.org/officeDocument/2006/relationships" xmlns:w="http://schemas.openxmlformats.org/wordprocessingml/2006/main">
  <w:divs>
    <w:div w:id="859008148">
      <w:marLeft w:val="0"/>
      <w:marRight w:val="0"/>
      <w:marTop w:val="0"/>
      <w:marBottom w:val="0"/>
      <w:divBdr>
        <w:top w:val="none" w:sz="0" w:space="0" w:color="auto"/>
        <w:left w:val="none" w:sz="0" w:space="0" w:color="auto"/>
        <w:bottom w:val="none" w:sz="0" w:space="0" w:color="auto"/>
        <w:right w:val="none" w:sz="0" w:space="0" w:color="auto"/>
      </w:divBdr>
    </w:div>
    <w:div w:id="859008149">
      <w:marLeft w:val="0"/>
      <w:marRight w:val="0"/>
      <w:marTop w:val="0"/>
      <w:marBottom w:val="0"/>
      <w:divBdr>
        <w:top w:val="none" w:sz="0" w:space="0" w:color="auto"/>
        <w:left w:val="none" w:sz="0" w:space="0" w:color="auto"/>
        <w:bottom w:val="none" w:sz="0" w:space="0" w:color="auto"/>
        <w:right w:val="none" w:sz="0" w:space="0" w:color="auto"/>
      </w:divBdr>
    </w:div>
    <w:div w:id="859008150">
      <w:marLeft w:val="0"/>
      <w:marRight w:val="0"/>
      <w:marTop w:val="0"/>
      <w:marBottom w:val="0"/>
      <w:divBdr>
        <w:top w:val="none" w:sz="0" w:space="0" w:color="auto"/>
        <w:left w:val="none" w:sz="0" w:space="0" w:color="auto"/>
        <w:bottom w:val="none" w:sz="0" w:space="0" w:color="auto"/>
        <w:right w:val="none" w:sz="0" w:space="0" w:color="auto"/>
      </w:divBdr>
    </w:div>
    <w:div w:id="859008151">
      <w:marLeft w:val="0"/>
      <w:marRight w:val="0"/>
      <w:marTop w:val="0"/>
      <w:marBottom w:val="0"/>
      <w:divBdr>
        <w:top w:val="none" w:sz="0" w:space="0" w:color="auto"/>
        <w:left w:val="none" w:sz="0" w:space="0" w:color="auto"/>
        <w:bottom w:val="none" w:sz="0" w:space="0" w:color="auto"/>
        <w:right w:val="none" w:sz="0" w:space="0" w:color="auto"/>
      </w:divBdr>
    </w:div>
    <w:div w:id="859008153">
      <w:marLeft w:val="0"/>
      <w:marRight w:val="0"/>
      <w:marTop w:val="0"/>
      <w:marBottom w:val="0"/>
      <w:divBdr>
        <w:top w:val="none" w:sz="0" w:space="0" w:color="auto"/>
        <w:left w:val="none" w:sz="0" w:space="0" w:color="auto"/>
        <w:bottom w:val="none" w:sz="0" w:space="0" w:color="auto"/>
        <w:right w:val="none" w:sz="0" w:space="0" w:color="auto"/>
      </w:divBdr>
    </w:div>
    <w:div w:id="859008156">
      <w:marLeft w:val="0"/>
      <w:marRight w:val="0"/>
      <w:marTop w:val="0"/>
      <w:marBottom w:val="0"/>
      <w:divBdr>
        <w:top w:val="none" w:sz="0" w:space="0" w:color="auto"/>
        <w:left w:val="none" w:sz="0" w:space="0" w:color="auto"/>
        <w:bottom w:val="none" w:sz="0" w:space="0" w:color="auto"/>
        <w:right w:val="none" w:sz="0" w:space="0" w:color="auto"/>
      </w:divBdr>
    </w:div>
    <w:div w:id="859008159">
      <w:marLeft w:val="0"/>
      <w:marRight w:val="0"/>
      <w:marTop w:val="0"/>
      <w:marBottom w:val="0"/>
      <w:divBdr>
        <w:top w:val="none" w:sz="0" w:space="0" w:color="auto"/>
        <w:left w:val="none" w:sz="0" w:space="0" w:color="auto"/>
        <w:bottom w:val="none" w:sz="0" w:space="0" w:color="auto"/>
        <w:right w:val="none" w:sz="0" w:space="0" w:color="auto"/>
      </w:divBdr>
    </w:div>
    <w:div w:id="859008160">
      <w:marLeft w:val="0"/>
      <w:marRight w:val="0"/>
      <w:marTop w:val="0"/>
      <w:marBottom w:val="0"/>
      <w:divBdr>
        <w:top w:val="none" w:sz="0" w:space="0" w:color="auto"/>
        <w:left w:val="none" w:sz="0" w:space="0" w:color="auto"/>
        <w:bottom w:val="none" w:sz="0" w:space="0" w:color="auto"/>
        <w:right w:val="none" w:sz="0" w:space="0" w:color="auto"/>
      </w:divBdr>
    </w:div>
    <w:div w:id="859008161">
      <w:marLeft w:val="0"/>
      <w:marRight w:val="0"/>
      <w:marTop w:val="0"/>
      <w:marBottom w:val="0"/>
      <w:divBdr>
        <w:top w:val="none" w:sz="0" w:space="0" w:color="auto"/>
        <w:left w:val="none" w:sz="0" w:space="0" w:color="auto"/>
        <w:bottom w:val="none" w:sz="0" w:space="0" w:color="auto"/>
        <w:right w:val="none" w:sz="0" w:space="0" w:color="auto"/>
      </w:divBdr>
    </w:div>
    <w:div w:id="859008162">
      <w:marLeft w:val="0"/>
      <w:marRight w:val="0"/>
      <w:marTop w:val="0"/>
      <w:marBottom w:val="0"/>
      <w:divBdr>
        <w:top w:val="none" w:sz="0" w:space="0" w:color="auto"/>
        <w:left w:val="none" w:sz="0" w:space="0" w:color="auto"/>
        <w:bottom w:val="none" w:sz="0" w:space="0" w:color="auto"/>
        <w:right w:val="none" w:sz="0" w:space="0" w:color="auto"/>
      </w:divBdr>
    </w:div>
    <w:div w:id="859008166">
      <w:marLeft w:val="0"/>
      <w:marRight w:val="0"/>
      <w:marTop w:val="0"/>
      <w:marBottom w:val="0"/>
      <w:divBdr>
        <w:top w:val="none" w:sz="0" w:space="0" w:color="auto"/>
        <w:left w:val="none" w:sz="0" w:space="0" w:color="auto"/>
        <w:bottom w:val="none" w:sz="0" w:space="0" w:color="auto"/>
        <w:right w:val="none" w:sz="0" w:space="0" w:color="auto"/>
      </w:divBdr>
    </w:div>
    <w:div w:id="859008170">
      <w:marLeft w:val="0"/>
      <w:marRight w:val="0"/>
      <w:marTop w:val="0"/>
      <w:marBottom w:val="0"/>
      <w:divBdr>
        <w:top w:val="none" w:sz="0" w:space="0" w:color="auto"/>
        <w:left w:val="none" w:sz="0" w:space="0" w:color="auto"/>
        <w:bottom w:val="none" w:sz="0" w:space="0" w:color="auto"/>
        <w:right w:val="none" w:sz="0" w:space="0" w:color="auto"/>
      </w:divBdr>
    </w:div>
    <w:div w:id="859008172">
      <w:marLeft w:val="0"/>
      <w:marRight w:val="0"/>
      <w:marTop w:val="0"/>
      <w:marBottom w:val="0"/>
      <w:divBdr>
        <w:top w:val="none" w:sz="0" w:space="0" w:color="auto"/>
        <w:left w:val="none" w:sz="0" w:space="0" w:color="auto"/>
        <w:bottom w:val="none" w:sz="0" w:space="0" w:color="auto"/>
        <w:right w:val="none" w:sz="0" w:space="0" w:color="auto"/>
      </w:divBdr>
    </w:div>
    <w:div w:id="859008175">
      <w:marLeft w:val="0"/>
      <w:marRight w:val="0"/>
      <w:marTop w:val="0"/>
      <w:marBottom w:val="0"/>
      <w:divBdr>
        <w:top w:val="none" w:sz="0" w:space="0" w:color="auto"/>
        <w:left w:val="none" w:sz="0" w:space="0" w:color="auto"/>
        <w:bottom w:val="none" w:sz="0" w:space="0" w:color="auto"/>
        <w:right w:val="none" w:sz="0" w:space="0" w:color="auto"/>
      </w:divBdr>
    </w:div>
    <w:div w:id="859008176">
      <w:marLeft w:val="0"/>
      <w:marRight w:val="0"/>
      <w:marTop w:val="0"/>
      <w:marBottom w:val="0"/>
      <w:divBdr>
        <w:top w:val="none" w:sz="0" w:space="0" w:color="auto"/>
        <w:left w:val="none" w:sz="0" w:space="0" w:color="auto"/>
        <w:bottom w:val="none" w:sz="0" w:space="0" w:color="auto"/>
        <w:right w:val="none" w:sz="0" w:space="0" w:color="auto"/>
      </w:divBdr>
    </w:div>
    <w:div w:id="859008184">
      <w:marLeft w:val="0"/>
      <w:marRight w:val="0"/>
      <w:marTop w:val="0"/>
      <w:marBottom w:val="0"/>
      <w:divBdr>
        <w:top w:val="none" w:sz="0" w:space="0" w:color="auto"/>
        <w:left w:val="none" w:sz="0" w:space="0" w:color="auto"/>
        <w:bottom w:val="none" w:sz="0" w:space="0" w:color="auto"/>
        <w:right w:val="none" w:sz="0" w:space="0" w:color="auto"/>
      </w:divBdr>
    </w:div>
    <w:div w:id="859008185">
      <w:marLeft w:val="0"/>
      <w:marRight w:val="0"/>
      <w:marTop w:val="0"/>
      <w:marBottom w:val="0"/>
      <w:divBdr>
        <w:top w:val="none" w:sz="0" w:space="0" w:color="auto"/>
        <w:left w:val="none" w:sz="0" w:space="0" w:color="auto"/>
        <w:bottom w:val="none" w:sz="0" w:space="0" w:color="auto"/>
        <w:right w:val="none" w:sz="0" w:space="0" w:color="auto"/>
      </w:divBdr>
    </w:div>
    <w:div w:id="859008186">
      <w:marLeft w:val="0"/>
      <w:marRight w:val="0"/>
      <w:marTop w:val="0"/>
      <w:marBottom w:val="0"/>
      <w:divBdr>
        <w:top w:val="none" w:sz="0" w:space="0" w:color="auto"/>
        <w:left w:val="none" w:sz="0" w:space="0" w:color="auto"/>
        <w:bottom w:val="none" w:sz="0" w:space="0" w:color="auto"/>
        <w:right w:val="none" w:sz="0" w:space="0" w:color="auto"/>
      </w:divBdr>
      <w:divsChild>
        <w:div w:id="859008179">
          <w:marLeft w:val="0"/>
          <w:marRight w:val="0"/>
          <w:marTop w:val="0"/>
          <w:marBottom w:val="0"/>
          <w:divBdr>
            <w:top w:val="none" w:sz="0" w:space="0" w:color="auto"/>
            <w:left w:val="none" w:sz="0" w:space="0" w:color="auto"/>
            <w:bottom w:val="none" w:sz="0" w:space="0" w:color="auto"/>
            <w:right w:val="none" w:sz="0" w:space="0" w:color="auto"/>
          </w:divBdr>
          <w:divsChild>
            <w:div w:id="859008154">
              <w:marLeft w:val="0"/>
              <w:marRight w:val="0"/>
              <w:marTop w:val="0"/>
              <w:marBottom w:val="0"/>
              <w:divBdr>
                <w:top w:val="none" w:sz="0" w:space="0" w:color="auto"/>
                <w:left w:val="none" w:sz="0" w:space="0" w:color="auto"/>
                <w:bottom w:val="none" w:sz="0" w:space="0" w:color="auto"/>
                <w:right w:val="none" w:sz="0" w:space="0" w:color="auto"/>
              </w:divBdr>
              <w:divsChild>
                <w:div w:id="859008181">
                  <w:marLeft w:val="0"/>
                  <w:marRight w:val="0"/>
                  <w:marTop w:val="0"/>
                  <w:marBottom w:val="0"/>
                  <w:divBdr>
                    <w:top w:val="none" w:sz="0" w:space="0" w:color="auto"/>
                    <w:left w:val="none" w:sz="0" w:space="0" w:color="auto"/>
                    <w:bottom w:val="none" w:sz="0" w:space="0" w:color="auto"/>
                    <w:right w:val="none" w:sz="0" w:space="0" w:color="auto"/>
                  </w:divBdr>
                  <w:divsChild>
                    <w:div w:id="859008167">
                      <w:marLeft w:val="0"/>
                      <w:marRight w:val="0"/>
                      <w:marTop w:val="0"/>
                      <w:marBottom w:val="0"/>
                      <w:divBdr>
                        <w:top w:val="none" w:sz="0" w:space="0" w:color="auto"/>
                        <w:left w:val="none" w:sz="0" w:space="0" w:color="auto"/>
                        <w:bottom w:val="none" w:sz="0" w:space="0" w:color="auto"/>
                        <w:right w:val="none" w:sz="0" w:space="0" w:color="auto"/>
                      </w:divBdr>
                      <w:divsChild>
                        <w:div w:id="859008155">
                          <w:marLeft w:val="0"/>
                          <w:marRight w:val="0"/>
                          <w:marTop w:val="0"/>
                          <w:marBottom w:val="0"/>
                          <w:divBdr>
                            <w:top w:val="none" w:sz="0" w:space="0" w:color="auto"/>
                            <w:left w:val="none" w:sz="0" w:space="0" w:color="auto"/>
                            <w:bottom w:val="none" w:sz="0" w:space="0" w:color="auto"/>
                            <w:right w:val="none" w:sz="0" w:space="0" w:color="auto"/>
                          </w:divBdr>
                          <w:divsChild>
                            <w:div w:id="859008168">
                              <w:marLeft w:val="0"/>
                              <w:marRight w:val="0"/>
                              <w:marTop w:val="0"/>
                              <w:marBottom w:val="0"/>
                              <w:divBdr>
                                <w:top w:val="none" w:sz="0" w:space="0" w:color="auto"/>
                                <w:left w:val="none" w:sz="0" w:space="0" w:color="auto"/>
                                <w:bottom w:val="none" w:sz="0" w:space="0" w:color="auto"/>
                                <w:right w:val="none" w:sz="0" w:space="0" w:color="auto"/>
                              </w:divBdr>
                              <w:divsChild>
                                <w:div w:id="859008152">
                                  <w:marLeft w:val="0"/>
                                  <w:marRight w:val="0"/>
                                  <w:marTop w:val="0"/>
                                  <w:marBottom w:val="0"/>
                                  <w:divBdr>
                                    <w:top w:val="none" w:sz="0" w:space="0" w:color="auto"/>
                                    <w:left w:val="none" w:sz="0" w:space="0" w:color="auto"/>
                                    <w:bottom w:val="none" w:sz="0" w:space="0" w:color="auto"/>
                                    <w:right w:val="none" w:sz="0" w:space="0" w:color="auto"/>
                                  </w:divBdr>
                                  <w:divsChild>
                                    <w:div w:id="859008163">
                                      <w:marLeft w:val="60"/>
                                      <w:marRight w:val="0"/>
                                      <w:marTop w:val="0"/>
                                      <w:marBottom w:val="0"/>
                                      <w:divBdr>
                                        <w:top w:val="none" w:sz="0" w:space="0" w:color="auto"/>
                                        <w:left w:val="none" w:sz="0" w:space="0" w:color="auto"/>
                                        <w:bottom w:val="none" w:sz="0" w:space="0" w:color="auto"/>
                                        <w:right w:val="none" w:sz="0" w:space="0" w:color="auto"/>
                                      </w:divBdr>
                                      <w:divsChild>
                                        <w:div w:id="859008158">
                                          <w:marLeft w:val="0"/>
                                          <w:marRight w:val="0"/>
                                          <w:marTop w:val="0"/>
                                          <w:marBottom w:val="0"/>
                                          <w:divBdr>
                                            <w:top w:val="none" w:sz="0" w:space="0" w:color="auto"/>
                                            <w:left w:val="none" w:sz="0" w:space="0" w:color="auto"/>
                                            <w:bottom w:val="none" w:sz="0" w:space="0" w:color="auto"/>
                                            <w:right w:val="none" w:sz="0" w:space="0" w:color="auto"/>
                                          </w:divBdr>
                                          <w:divsChild>
                                            <w:div w:id="859008183">
                                              <w:marLeft w:val="0"/>
                                              <w:marRight w:val="0"/>
                                              <w:marTop w:val="0"/>
                                              <w:marBottom w:val="120"/>
                                              <w:divBdr>
                                                <w:top w:val="single" w:sz="6" w:space="0" w:color="F5F5F5"/>
                                                <w:left w:val="single" w:sz="6" w:space="0" w:color="F5F5F5"/>
                                                <w:bottom w:val="single" w:sz="6" w:space="0" w:color="F5F5F5"/>
                                                <w:right w:val="single" w:sz="6" w:space="0" w:color="F5F5F5"/>
                                              </w:divBdr>
                                              <w:divsChild>
                                                <w:div w:id="859008190">
                                                  <w:marLeft w:val="0"/>
                                                  <w:marRight w:val="0"/>
                                                  <w:marTop w:val="0"/>
                                                  <w:marBottom w:val="0"/>
                                                  <w:divBdr>
                                                    <w:top w:val="none" w:sz="0" w:space="0" w:color="auto"/>
                                                    <w:left w:val="none" w:sz="0" w:space="0" w:color="auto"/>
                                                    <w:bottom w:val="none" w:sz="0" w:space="0" w:color="auto"/>
                                                    <w:right w:val="none" w:sz="0" w:space="0" w:color="auto"/>
                                                  </w:divBdr>
                                                  <w:divsChild>
                                                    <w:div w:id="85900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9008187">
      <w:marLeft w:val="0"/>
      <w:marRight w:val="0"/>
      <w:marTop w:val="0"/>
      <w:marBottom w:val="0"/>
      <w:divBdr>
        <w:top w:val="none" w:sz="0" w:space="0" w:color="auto"/>
        <w:left w:val="none" w:sz="0" w:space="0" w:color="auto"/>
        <w:bottom w:val="none" w:sz="0" w:space="0" w:color="auto"/>
        <w:right w:val="none" w:sz="0" w:space="0" w:color="auto"/>
      </w:divBdr>
    </w:div>
    <w:div w:id="859008188">
      <w:marLeft w:val="0"/>
      <w:marRight w:val="0"/>
      <w:marTop w:val="0"/>
      <w:marBottom w:val="0"/>
      <w:divBdr>
        <w:top w:val="none" w:sz="0" w:space="0" w:color="auto"/>
        <w:left w:val="none" w:sz="0" w:space="0" w:color="auto"/>
        <w:bottom w:val="none" w:sz="0" w:space="0" w:color="auto"/>
        <w:right w:val="none" w:sz="0" w:space="0" w:color="auto"/>
      </w:divBdr>
    </w:div>
    <w:div w:id="859008189">
      <w:marLeft w:val="0"/>
      <w:marRight w:val="0"/>
      <w:marTop w:val="0"/>
      <w:marBottom w:val="0"/>
      <w:divBdr>
        <w:top w:val="none" w:sz="0" w:space="0" w:color="auto"/>
        <w:left w:val="none" w:sz="0" w:space="0" w:color="auto"/>
        <w:bottom w:val="none" w:sz="0" w:space="0" w:color="auto"/>
        <w:right w:val="none" w:sz="0" w:space="0" w:color="auto"/>
      </w:divBdr>
      <w:divsChild>
        <w:div w:id="859008192">
          <w:marLeft w:val="0"/>
          <w:marRight w:val="0"/>
          <w:marTop w:val="0"/>
          <w:marBottom w:val="0"/>
          <w:divBdr>
            <w:top w:val="none" w:sz="0" w:space="0" w:color="auto"/>
            <w:left w:val="none" w:sz="0" w:space="0" w:color="auto"/>
            <w:bottom w:val="none" w:sz="0" w:space="0" w:color="auto"/>
            <w:right w:val="none" w:sz="0" w:space="0" w:color="auto"/>
          </w:divBdr>
          <w:divsChild>
            <w:div w:id="859008177">
              <w:marLeft w:val="0"/>
              <w:marRight w:val="0"/>
              <w:marTop w:val="0"/>
              <w:marBottom w:val="0"/>
              <w:divBdr>
                <w:top w:val="none" w:sz="0" w:space="0" w:color="auto"/>
                <w:left w:val="none" w:sz="0" w:space="0" w:color="auto"/>
                <w:bottom w:val="none" w:sz="0" w:space="0" w:color="auto"/>
                <w:right w:val="none" w:sz="0" w:space="0" w:color="auto"/>
              </w:divBdr>
              <w:divsChild>
                <w:div w:id="859008164">
                  <w:marLeft w:val="0"/>
                  <w:marRight w:val="0"/>
                  <w:marTop w:val="0"/>
                  <w:marBottom w:val="0"/>
                  <w:divBdr>
                    <w:top w:val="none" w:sz="0" w:space="0" w:color="auto"/>
                    <w:left w:val="none" w:sz="0" w:space="0" w:color="auto"/>
                    <w:bottom w:val="none" w:sz="0" w:space="0" w:color="auto"/>
                    <w:right w:val="none" w:sz="0" w:space="0" w:color="auto"/>
                  </w:divBdr>
                  <w:divsChild>
                    <w:div w:id="859008180">
                      <w:marLeft w:val="0"/>
                      <w:marRight w:val="0"/>
                      <w:marTop w:val="0"/>
                      <w:marBottom w:val="0"/>
                      <w:divBdr>
                        <w:top w:val="none" w:sz="0" w:space="0" w:color="auto"/>
                        <w:left w:val="none" w:sz="0" w:space="0" w:color="auto"/>
                        <w:bottom w:val="none" w:sz="0" w:space="0" w:color="auto"/>
                        <w:right w:val="none" w:sz="0" w:space="0" w:color="auto"/>
                      </w:divBdr>
                      <w:divsChild>
                        <w:div w:id="859008169">
                          <w:marLeft w:val="0"/>
                          <w:marRight w:val="0"/>
                          <w:marTop w:val="0"/>
                          <w:marBottom w:val="0"/>
                          <w:divBdr>
                            <w:top w:val="none" w:sz="0" w:space="0" w:color="auto"/>
                            <w:left w:val="none" w:sz="0" w:space="0" w:color="auto"/>
                            <w:bottom w:val="none" w:sz="0" w:space="0" w:color="auto"/>
                            <w:right w:val="none" w:sz="0" w:space="0" w:color="auto"/>
                          </w:divBdr>
                          <w:divsChild>
                            <w:div w:id="859008174">
                              <w:marLeft w:val="0"/>
                              <w:marRight w:val="0"/>
                              <w:marTop w:val="0"/>
                              <w:marBottom w:val="0"/>
                              <w:divBdr>
                                <w:top w:val="none" w:sz="0" w:space="0" w:color="auto"/>
                                <w:left w:val="none" w:sz="0" w:space="0" w:color="auto"/>
                                <w:bottom w:val="none" w:sz="0" w:space="0" w:color="auto"/>
                                <w:right w:val="none" w:sz="0" w:space="0" w:color="auto"/>
                              </w:divBdr>
                              <w:divsChild>
                                <w:div w:id="859008173">
                                  <w:marLeft w:val="0"/>
                                  <w:marRight w:val="0"/>
                                  <w:marTop w:val="0"/>
                                  <w:marBottom w:val="0"/>
                                  <w:divBdr>
                                    <w:top w:val="none" w:sz="0" w:space="0" w:color="auto"/>
                                    <w:left w:val="none" w:sz="0" w:space="0" w:color="auto"/>
                                    <w:bottom w:val="none" w:sz="0" w:space="0" w:color="auto"/>
                                    <w:right w:val="none" w:sz="0" w:space="0" w:color="auto"/>
                                  </w:divBdr>
                                  <w:divsChild>
                                    <w:div w:id="859008165">
                                      <w:marLeft w:val="60"/>
                                      <w:marRight w:val="0"/>
                                      <w:marTop w:val="0"/>
                                      <w:marBottom w:val="0"/>
                                      <w:divBdr>
                                        <w:top w:val="none" w:sz="0" w:space="0" w:color="auto"/>
                                        <w:left w:val="none" w:sz="0" w:space="0" w:color="auto"/>
                                        <w:bottom w:val="none" w:sz="0" w:space="0" w:color="auto"/>
                                        <w:right w:val="none" w:sz="0" w:space="0" w:color="auto"/>
                                      </w:divBdr>
                                      <w:divsChild>
                                        <w:div w:id="859008157">
                                          <w:marLeft w:val="0"/>
                                          <w:marRight w:val="0"/>
                                          <w:marTop w:val="0"/>
                                          <w:marBottom w:val="0"/>
                                          <w:divBdr>
                                            <w:top w:val="none" w:sz="0" w:space="0" w:color="auto"/>
                                            <w:left w:val="none" w:sz="0" w:space="0" w:color="auto"/>
                                            <w:bottom w:val="none" w:sz="0" w:space="0" w:color="auto"/>
                                            <w:right w:val="none" w:sz="0" w:space="0" w:color="auto"/>
                                          </w:divBdr>
                                          <w:divsChild>
                                            <w:div w:id="859008194">
                                              <w:marLeft w:val="0"/>
                                              <w:marRight w:val="0"/>
                                              <w:marTop w:val="0"/>
                                              <w:marBottom w:val="120"/>
                                              <w:divBdr>
                                                <w:top w:val="single" w:sz="6" w:space="0" w:color="F5F5F5"/>
                                                <w:left w:val="single" w:sz="6" w:space="0" w:color="F5F5F5"/>
                                                <w:bottom w:val="single" w:sz="6" w:space="0" w:color="F5F5F5"/>
                                                <w:right w:val="single" w:sz="6" w:space="0" w:color="F5F5F5"/>
                                              </w:divBdr>
                                              <w:divsChild>
                                                <w:div w:id="859008171">
                                                  <w:marLeft w:val="0"/>
                                                  <w:marRight w:val="0"/>
                                                  <w:marTop w:val="0"/>
                                                  <w:marBottom w:val="0"/>
                                                  <w:divBdr>
                                                    <w:top w:val="none" w:sz="0" w:space="0" w:color="auto"/>
                                                    <w:left w:val="none" w:sz="0" w:space="0" w:color="auto"/>
                                                    <w:bottom w:val="none" w:sz="0" w:space="0" w:color="auto"/>
                                                    <w:right w:val="none" w:sz="0" w:space="0" w:color="auto"/>
                                                  </w:divBdr>
                                                  <w:divsChild>
                                                    <w:div w:id="85900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9008191">
      <w:marLeft w:val="0"/>
      <w:marRight w:val="0"/>
      <w:marTop w:val="0"/>
      <w:marBottom w:val="0"/>
      <w:divBdr>
        <w:top w:val="none" w:sz="0" w:space="0" w:color="auto"/>
        <w:left w:val="none" w:sz="0" w:space="0" w:color="auto"/>
        <w:bottom w:val="none" w:sz="0" w:space="0" w:color="auto"/>
        <w:right w:val="none" w:sz="0" w:space="0" w:color="auto"/>
      </w:divBdr>
    </w:div>
    <w:div w:id="859008193">
      <w:marLeft w:val="0"/>
      <w:marRight w:val="0"/>
      <w:marTop w:val="0"/>
      <w:marBottom w:val="0"/>
      <w:divBdr>
        <w:top w:val="none" w:sz="0" w:space="0" w:color="auto"/>
        <w:left w:val="none" w:sz="0" w:space="0" w:color="auto"/>
        <w:bottom w:val="none" w:sz="0" w:space="0" w:color="auto"/>
        <w:right w:val="none" w:sz="0" w:space="0" w:color="auto"/>
      </w:divBdr>
    </w:div>
    <w:div w:id="859008195">
      <w:marLeft w:val="0"/>
      <w:marRight w:val="0"/>
      <w:marTop w:val="0"/>
      <w:marBottom w:val="0"/>
      <w:divBdr>
        <w:top w:val="none" w:sz="0" w:space="0" w:color="auto"/>
        <w:left w:val="none" w:sz="0" w:space="0" w:color="auto"/>
        <w:bottom w:val="none" w:sz="0" w:space="0" w:color="auto"/>
        <w:right w:val="none" w:sz="0" w:space="0" w:color="auto"/>
      </w:divBdr>
    </w:div>
    <w:div w:id="859008197">
      <w:marLeft w:val="0"/>
      <w:marRight w:val="0"/>
      <w:marTop w:val="0"/>
      <w:marBottom w:val="0"/>
      <w:divBdr>
        <w:top w:val="none" w:sz="0" w:space="0" w:color="auto"/>
        <w:left w:val="none" w:sz="0" w:space="0" w:color="auto"/>
        <w:bottom w:val="none" w:sz="0" w:space="0" w:color="auto"/>
        <w:right w:val="none" w:sz="0" w:space="0" w:color="auto"/>
      </w:divBdr>
      <w:divsChild>
        <w:div w:id="859008196">
          <w:marLeft w:val="0"/>
          <w:marRight w:val="0"/>
          <w:marTop w:val="0"/>
          <w:marBottom w:val="0"/>
          <w:divBdr>
            <w:top w:val="none" w:sz="0" w:space="0" w:color="auto"/>
            <w:left w:val="none" w:sz="0" w:space="0" w:color="auto"/>
            <w:bottom w:val="none" w:sz="0" w:space="0" w:color="auto"/>
            <w:right w:val="none" w:sz="0" w:space="0" w:color="auto"/>
          </w:divBdr>
        </w:div>
        <w:div w:id="859008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hyperlink" Target="http://epp.eurostat.ec.europa.eu" TargetMode="Externa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hyperlink" Target="http://ideas.repec.org/s/bac/fsecub.html" TargetMode="Externa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hyperlink" Target="https://www.statist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260</TotalTime>
  <Pages>8</Pages>
  <Words>2222</Words>
  <Characters>12667</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rânduri libere, 11p)</dc:title>
  <dc:subject/>
  <dc:creator>pc</dc:creator>
  <cp:keywords/>
  <dc:description/>
  <cp:lastModifiedBy>Home</cp:lastModifiedBy>
  <cp:revision>21</cp:revision>
  <cp:lastPrinted>2017-06-02T14:45:00Z</cp:lastPrinted>
  <dcterms:created xsi:type="dcterms:W3CDTF">2017-06-14T08:32:00Z</dcterms:created>
  <dcterms:modified xsi:type="dcterms:W3CDTF">2017-07-15T04:08:00Z</dcterms:modified>
</cp:coreProperties>
</file>