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3B" w:rsidRPr="005E72E6" w:rsidRDefault="004F0132" w:rsidP="00A15675">
      <w:pPr>
        <w:spacing w:after="0" w:line="240" w:lineRule="auto"/>
        <w:jc w:val="center"/>
        <w:rPr>
          <w:rFonts w:ascii="Times New Roman" w:hAnsi="Times New Roman"/>
          <w:color w:val="FF0000"/>
        </w:rPr>
      </w:pPr>
      <w:bookmarkStart w:id="0" w:name="_GoBack"/>
      <w:bookmarkEnd w:id="0"/>
      <w:r>
        <w:rPr>
          <w:rFonts w:ascii="Times New Roman" w:hAnsi="Times New Roman"/>
          <w:color w:val="FF0000"/>
        </w:rPr>
        <w:t xml:space="preserve"> </w:t>
      </w:r>
    </w:p>
    <w:p w:rsidR="001F243B" w:rsidRPr="00A15675" w:rsidRDefault="004F0132" w:rsidP="00A15675">
      <w:pPr>
        <w:spacing w:after="0" w:line="240" w:lineRule="auto"/>
        <w:jc w:val="center"/>
        <w:rPr>
          <w:rFonts w:ascii="Times New Roman" w:hAnsi="Times New Roman"/>
          <w:b/>
          <w:sz w:val="24"/>
          <w:szCs w:val="26"/>
        </w:rPr>
      </w:pPr>
      <w:r w:rsidRPr="004F0132">
        <w:rPr>
          <w:rFonts w:ascii="Times New Roman" w:hAnsi="Times New Roman"/>
          <w:b/>
          <w:sz w:val="24"/>
          <w:szCs w:val="24"/>
          <w:lang w:val="en-GB"/>
        </w:rPr>
        <w:t>FINANCING POLICY OF FIRMS IN THE CONTEXT OF CRISIS-INDUCED VULNERABILITIES</w:t>
      </w:r>
    </w:p>
    <w:p w:rsidR="001F243B" w:rsidRPr="005E72E6" w:rsidRDefault="004F0132" w:rsidP="00A15675">
      <w:pPr>
        <w:spacing w:after="0" w:line="240" w:lineRule="auto"/>
        <w:jc w:val="center"/>
        <w:rPr>
          <w:rFonts w:ascii="Times New Roman" w:hAnsi="Times New Roman"/>
          <w:color w:val="FF0000"/>
        </w:rPr>
      </w:pPr>
      <w:r>
        <w:rPr>
          <w:rFonts w:ascii="Times New Roman" w:hAnsi="Times New Roman"/>
          <w:color w:val="FF0000"/>
        </w:rPr>
        <w:t xml:space="preserve"> </w:t>
      </w:r>
    </w:p>
    <w:p w:rsidR="001B0AE1" w:rsidRPr="005E72E6" w:rsidRDefault="004F0132" w:rsidP="00A15675">
      <w:pPr>
        <w:spacing w:after="0" w:line="240" w:lineRule="auto"/>
        <w:jc w:val="center"/>
        <w:rPr>
          <w:rFonts w:ascii="Times New Roman" w:hAnsi="Times New Roman"/>
          <w:b/>
          <w:color w:val="FF0000"/>
          <w:sz w:val="20"/>
          <w:szCs w:val="20"/>
        </w:rPr>
      </w:pPr>
      <w:proofErr w:type="spellStart"/>
      <w:r w:rsidRPr="004F0132">
        <w:rPr>
          <w:rFonts w:ascii="Times New Roman" w:hAnsi="Times New Roman"/>
          <w:b/>
          <w:sz w:val="20"/>
        </w:rPr>
        <w:t>Mihaela</w:t>
      </w:r>
      <w:proofErr w:type="spellEnd"/>
      <w:r w:rsidRPr="004F0132">
        <w:rPr>
          <w:rFonts w:ascii="Times New Roman" w:hAnsi="Times New Roman"/>
          <w:b/>
          <w:sz w:val="20"/>
        </w:rPr>
        <w:t xml:space="preserve"> Brîndușa </w:t>
      </w:r>
      <w:proofErr w:type="spellStart"/>
      <w:r w:rsidRPr="004F0132">
        <w:rPr>
          <w:rFonts w:ascii="Times New Roman" w:hAnsi="Times New Roman"/>
          <w:b/>
          <w:sz w:val="20"/>
        </w:rPr>
        <w:t>Tudose</w:t>
      </w:r>
      <w:proofErr w:type="spellEnd"/>
      <w:r>
        <w:rPr>
          <w:rFonts w:ascii="Times New Roman" w:hAnsi="Times New Roman"/>
          <w:b/>
          <w:sz w:val="20"/>
        </w:rPr>
        <w:t xml:space="preserve"> </w:t>
      </w:r>
    </w:p>
    <w:p w:rsidR="001B0AE1" w:rsidRPr="005E72E6" w:rsidRDefault="004F0132" w:rsidP="004F0132">
      <w:pPr>
        <w:spacing w:after="0" w:line="240" w:lineRule="auto"/>
        <w:jc w:val="center"/>
        <w:rPr>
          <w:rFonts w:ascii="Times New Roman" w:hAnsi="Times New Roman"/>
          <w:color w:val="FF0000"/>
          <w:sz w:val="18"/>
        </w:rPr>
      </w:pPr>
      <w:proofErr w:type="spellStart"/>
      <w:r w:rsidRPr="004F0132">
        <w:rPr>
          <w:rFonts w:ascii="Times New Roman" w:hAnsi="Times New Roman"/>
          <w:sz w:val="18"/>
          <w:szCs w:val="24"/>
          <w:lang w:val="en-GB"/>
        </w:rPr>
        <w:t>Gh</w:t>
      </w:r>
      <w:proofErr w:type="spellEnd"/>
      <w:r w:rsidRPr="004F0132">
        <w:rPr>
          <w:rFonts w:ascii="Times New Roman" w:hAnsi="Times New Roman"/>
          <w:sz w:val="18"/>
          <w:szCs w:val="24"/>
          <w:lang w:val="en-GB"/>
        </w:rPr>
        <w:t xml:space="preserve">. </w:t>
      </w:r>
      <w:proofErr w:type="spellStart"/>
      <w:r w:rsidRPr="004F0132">
        <w:rPr>
          <w:rStyle w:val="hps"/>
          <w:rFonts w:ascii="Times New Roman" w:hAnsi="Times New Roman"/>
          <w:sz w:val="18"/>
          <w:szCs w:val="24"/>
          <w:lang w:val="en-GB"/>
        </w:rPr>
        <w:t>Asachi</w:t>
      </w:r>
      <w:proofErr w:type="spellEnd"/>
      <w:r w:rsidRPr="001B0AE1">
        <w:rPr>
          <w:rFonts w:ascii="Times New Roman" w:hAnsi="Times New Roman"/>
          <w:sz w:val="18"/>
        </w:rPr>
        <w:t xml:space="preserve"> </w:t>
      </w:r>
      <w:r w:rsidRPr="004F0132">
        <w:rPr>
          <w:rStyle w:val="hps"/>
          <w:rFonts w:ascii="Times New Roman" w:hAnsi="Times New Roman"/>
          <w:sz w:val="18"/>
          <w:szCs w:val="24"/>
          <w:lang w:val="en-GB"/>
        </w:rPr>
        <w:t xml:space="preserve">Technical University </w:t>
      </w:r>
    </w:p>
    <w:p w:rsidR="001F243B" w:rsidRPr="005E72E6" w:rsidRDefault="00142CEB" w:rsidP="00A15675">
      <w:pPr>
        <w:spacing w:after="0" w:line="240" w:lineRule="auto"/>
        <w:jc w:val="center"/>
        <w:rPr>
          <w:rFonts w:ascii="Times New Roman" w:hAnsi="Times New Roman"/>
          <w:color w:val="FF0000"/>
          <w:sz w:val="18"/>
          <w:szCs w:val="20"/>
        </w:rPr>
      </w:pPr>
      <w:r w:rsidRPr="001B0AE1">
        <w:rPr>
          <w:rFonts w:ascii="Times New Roman" w:hAnsi="Times New Roman"/>
          <w:sz w:val="18"/>
        </w:rPr>
        <w:t xml:space="preserve"> </w:t>
      </w:r>
      <w:r w:rsidR="004F0132">
        <w:rPr>
          <w:rFonts w:ascii="Times New Roman" w:hAnsi="Times New Roman"/>
          <w:sz w:val="18"/>
        </w:rPr>
        <w:t>brindusatudose@gm</w:t>
      </w:r>
      <w:r w:rsidRPr="001B0AE1">
        <w:rPr>
          <w:rFonts w:ascii="Times New Roman" w:hAnsi="Times New Roman"/>
          <w:sz w:val="18"/>
        </w:rPr>
        <w:t>ail.com</w:t>
      </w:r>
      <w:r w:rsidR="007E7BEE" w:rsidRPr="001B0AE1">
        <w:rPr>
          <w:rFonts w:ascii="Times New Roman" w:hAnsi="Times New Roman"/>
          <w:sz w:val="18"/>
        </w:rPr>
        <w:t xml:space="preserve"> </w:t>
      </w:r>
    </w:p>
    <w:p w:rsidR="001B0AE1" w:rsidRPr="001B0AE1" w:rsidRDefault="004F0132" w:rsidP="00A15675">
      <w:pPr>
        <w:spacing w:after="0" w:line="240" w:lineRule="auto"/>
        <w:jc w:val="center"/>
        <w:rPr>
          <w:rFonts w:ascii="Times New Roman" w:hAnsi="Times New Roman"/>
          <w:b/>
          <w:sz w:val="20"/>
          <w:szCs w:val="20"/>
        </w:rPr>
      </w:pPr>
      <w:proofErr w:type="spellStart"/>
      <w:r>
        <w:rPr>
          <w:rFonts w:ascii="Times New Roman" w:hAnsi="Times New Roman"/>
          <w:b/>
          <w:sz w:val="20"/>
        </w:rPr>
        <w:t>Valentina</w:t>
      </w:r>
      <w:proofErr w:type="spellEnd"/>
      <w:r>
        <w:rPr>
          <w:rFonts w:ascii="Times New Roman" w:hAnsi="Times New Roman"/>
          <w:b/>
          <w:sz w:val="20"/>
        </w:rPr>
        <w:t xml:space="preserve"> Dina </w:t>
      </w:r>
      <w:proofErr w:type="spellStart"/>
      <w:r>
        <w:rPr>
          <w:rFonts w:ascii="Times New Roman" w:hAnsi="Times New Roman"/>
          <w:b/>
          <w:sz w:val="20"/>
        </w:rPr>
        <w:t>Rusu</w:t>
      </w:r>
      <w:proofErr w:type="spellEnd"/>
      <w:r w:rsidR="001B0AE1">
        <w:rPr>
          <w:rFonts w:ascii="Times New Roman" w:hAnsi="Times New Roman"/>
          <w:b/>
          <w:sz w:val="20"/>
        </w:rPr>
        <w:t xml:space="preserve"> </w:t>
      </w:r>
    </w:p>
    <w:p w:rsidR="004F0132" w:rsidRPr="004F0132" w:rsidRDefault="004F0132" w:rsidP="004F0132">
      <w:pPr>
        <w:spacing w:after="0" w:line="240" w:lineRule="auto"/>
        <w:jc w:val="center"/>
        <w:rPr>
          <w:rFonts w:ascii="Times New Roman" w:hAnsi="Times New Roman"/>
          <w:color w:val="000000"/>
          <w:sz w:val="18"/>
          <w:szCs w:val="24"/>
          <w:lang w:val="en-GB"/>
        </w:rPr>
      </w:pPr>
      <w:proofErr w:type="spellStart"/>
      <w:r w:rsidRPr="004F0132">
        <w:rPr>
          <w:rFonts w:ascii="Times New Roman" w:hAnsi="Times New Roman"/>
          <w:sz w:val="18"/>
          <w:szCs w:val="24"/>
          <w:lang w:val="en-GB"/>
        </w:rPr>
        <w:t>Alexandru</w:t>
      </w:r>
      <w:proofErr w:type="spellEnd"/>
      <w:r w:rsidRPr="004F0132">
        <w:rPr>
          <w:rFonts w:ascii="Times New Roman" w:hAnsi="Times New Roman"/>
          <w:sz w:val="18"/>
          <w:szCs w:val="24"/>
          <w:lang w:val="en-GB"/>
        </w:rPr>
        <w:t xml:space="preserve"> </w:t>
      </w:r>
      <w:proofErr w:type="spellStart"/>
      <w:r w:rsidRPr="004F0132">
        <w:rPr>
          <w:rFonts w:ascii="Times New Roman" w:hAnsi="Times New Roman"/>
          <w:sz w:val="18"/>
          <w:szCs w:val="24"/>
          <w:lang w:val="en-GB"/>
        </w:rPr>
        <w:t>Ioan</w:t>
      </w:r>
      <w:proofErr w:type="spellEnd"/>
      <w:r w:rsidRPr="004F0132">
        <w:rPr>
          <w:rFonts w:ascii="Times New Roman" w:hAnsi="Times New Roman"/>
          <w:sz w:val="18"/>
          <w:szCs w:val="24"/>
          <w:lang w:val="en-GB"/>
        </w:rPr>
        <w:t xml:space="preserve"> </w:t>
      </w:r>
      <w:proofErr w:type="spellStart"/>
      <w:r w:rsidRPr="004F0132">
        <w:rPr>
          <w:rFonts w:ascii="Times New Roman" w:hAnsi="Times New Roman"/>
          <w:sz w:val="18"/>
          <w:szCs w:val="24"/>
          <w:lang w:val="en-GB"/>
        </w:rPr>
        <w:t>Cuza</w:t>
      </w:r>
      <w:proofErr w:type="spellEnd"/>
      <w:r w:rsidRPr="004F0132">
        <w:rPr>
          <w:rFonts w:ascii="Times New Roman" w:hAnsi="Times New Roman"/>
          <w:sz w:val="18"/>
          <w:szCs w:val="24"/>
          <w:lang w:val="en-GB"/>
        </w:rPr>
        <w:t xml:space="preserve"> University</w:t>
      </w:r>
      <w:r w:rsidRPr="004F0132">
        <w:rPr>
          <w:rFonts w:ascii="Times New Roman" w:hAnsi="Times New Roman"/>
          <w:color w:val="000000"/>
          <w:sz w:val="18"/>
          <w:szCs w:val="24"/>
          <w:lang w:val="en-GB"/>
        </w:rPr>
        <w:t xml:space="preserve"> </w:t>
      </w:r>
    </w:p>
    <w:p w:rsidR="00D27390" w:rsidRPr="005E72E6" w:rsidRDefault="004F0132" w:rsidP="00A15675">
      <w:pPr>
        <w:spacing w:after="0" w:line="240" w:lineRule="auto"/>
        <w:jc w:val="center"/>
        <w:rPr>
          <w:rFonts w:ascii="Times New Roman" w:hAnsi="Times New Roman"/>
          <w:color w:val="FF0000"/>
          <w:sz w:val="18"/>
        </w:rPr>
      </w:pPr>
      <w:r w:rsidRPr="004F0132">
        <w:rPr>
          <w:rStyle w:val="gi"/>
          <w:rFonts w:ascii="Times New Roman" w:hAnsi="Times New Roman"/>
          <w:sz w:val="18"/>
          <w:szCs w:val="24"/>
          <w:lang w:val="en-GB"/>
        </w:rPr>
        <w:t>valentinadiana.ig@gmail.com</w:t>
      </w:r>
    </w:p>
    <w:p w:rsidR="00505E50" w:rsidRDefault="004F0132" w:rsidP="00A15675">
      <w:pPr>
        <w:spacing w:after="0" w:line="240" w:lineRule="auto"/>
        <w:jc w:val="center"/>
        <w:rPr>
          <w:rFonts w:ascii="Times New Roman" w:hAnsi="Times New Roman"/>
          <w:color w:val="FF0000"/>
        </w:rPr>
      </w:pPr>
      <w:r>
        <w:rPr>
          <w:rFonts w:ascii="Times New Roman" w:hAnsi="Times New Roman"/>
          <w:color w:val="FF0000"/>
        </w:rPr>
        <w:t xml:space="preserve"> </w:t>
      </w:r>
    </w:p>
    <w:p w:rsidR="004F0132" w:rsidRPr="005E72E6" w:rsidRDefault="004F0132" w:rsidP="00A15675">
      <w:pPr>
        <w:spacing w:after="0" w:line="240" w:lineRule="auto"/>
        <w:jc w:val="center"/>
        <w:rPr>
          <w:rFonts w:ascii="Times New Roman" w:hAnsi="Times New Roman"/>
          <w:color w:val="FF0000"/>
        </w:rPr>
      </w:pPr>
    </w:p>
    <w:p w:rsidR="001F243B" w:rsidRPr="005E72E6" w:rsidRDefault="001F243B" w:rsidP="00A15675">
      <w:pPr>
        <w:spacing w:after="0" w:line="240" w:lineRule="auto"/>
        <w:jc w:val="both"/>
        <w:rPr>
          <w:rFonts w:ascii="Times New Roman" w:hAnsi="Times New Roman"/>
          <w:b/>
          <w:color w:val="FF0000"/>
          <w:sz w:val="20"/>
        </w:rPr>
      </w:pPr>
      <w:r w:rsidRPr="00233038">
        <w:rPr>
          <w:rFonts w:ascii="Times New Roman" w:hAnsi="Times New Roman"/>
          <w:b/>
          <w:sz w:val="20"/>
        </w:rPr>
        <w:t>Abstract</w:t>
      </w:r>
      <w:r w:rsidR="007E7BEE" w:rsidRPr="00233038">
        <w:rPr>
          <w:rFonts w:ascii="Times New Roman" w:hAnsi="Times New Roman"/>
          <w:b/>
          <w:sz w:val="20"/>
        </w:rPr>
        <w:t xml:space="preserve"> </w:t>
      </w:r>
    </w:p>
    <w:p w:rsidR="00290CFF" w:rsidRPr="00290CFF" w:rsidRDefault="00290CFF" w:rsidP="00290CFF">
      <w:pPr>
        <w:spacing w:after="0" w:line="240" w:lineRule="auto"/>
        <w:jc w:val="both"/>
        <w:rPr>
          <w:rFonts w:ascii="Times New Roman" w:hAnsi="Times New Roman"/>
          <w:i/>
          <w:sz w:val="20"/>
          <w:szCs w:val="18"/>
        </w:rPr>
      </w:pPr>
      <w:r w:rsidRPr="00290CFF">
        <w:rPr>
          <w:rFonts w:ascii="Times New Roman" w:hAnsi="Times New Roman"/>
          <w:i/>
          <w:sz w:val="20"/>
          <w:lang w:val="en-GB"/>
        </w:rPr>
        <w:t>Our study analyses the changes in the financial structure of the firms in the context of the vulnerabilities induced by the financial crisis. The study show that there have been registered a reconfiguration of firms’ financial structure which has triggered an increase in their financial fragility and vulnerability to crises. The results obtained confirm that the effects of financing differ depending on the economic conditions in particular period (normal periods and crisis periods).</w:t>
      </w:r>
      <w:r w:rsidR="00B63E10">
        <w:rPr>
          <w:rFonts w:ascii="Times New Roman" w:hAnsi="Times New Roman"/>
          <w:i/>
          <w:sz w:val="20"/>
          <w:lang w:val="en-GB"/>
        </w:rPr>
        <w:t xml:space="preserve"> </w:t>
      </w:r>
      <w:r w:rsidRPr="00290CFF">
        <w:rPr>
          <w:rFonts w:ascii="Times New Roman" w:hAnsi="Times New Roman"/>
          <w:i/>
          <w:sz w:val="20"/>
          <w:lang w:val="en-GB"/>
        </w:rPr>
        <w:t xml:space="preserve">In tranquil times solvency is more important for the firms than liquidity. After crisis, the firms became more cautious regarding liquidity, solvency and the prospect of securing long-term financial balance. These firms have abandoned the objective of maximizing the positive effects of debt financing adopting a more prudent financing. </w:t>
      </w:r>
    </w:p>
    <w:p w:rsidR="00290CFF" w:rsidRPr="00064D40" w:rsidRDefault="00290CFF" w:rsidP="00A15675">
      <w:pPr>
        <w:spacing w:after="0" w:line="240" w:lineRule="auto"/>
        <w:jc w:val="both"/>
        <w:rPr>
          <w:rFonts w:ascii="Times New Roman" w:hAnsi="Times New Roman"/>
          <w:b/>
        </w:rPr>
      </w:pPr>
    </w:p>
    <w:p w:rsidR="0065081A" w:rsidRPr="005E72E6" w:rsidRDefault="0065081A" w:rsidP="00A15675">
      <w:pPr>
        <w:spacing w:after="0" w:line="240" w:lineRule="auto"/>
        <w:jc w:val="both"/>
        <w:rPr>
          <w:rFonts w:ascii="Times New Roman" w:hAnsi="Times New Roman"/>
          <w:b/>
          <w:color w:val="FF0000"/>
          <w:sz w:val="20"/>
        </w:rPr>
      </w:pPr>
      <w:r w:rsidRPr="00233038">
        <w:rPr>
          <w:rFonts w:ascii="Times New Roman" w:hAnsi="Times New Roman"/>
          <w:b/>
          <w:sz w:val="20"/>
        </w:rPr>
        <w:t xml:space="preserve">Keywords </w:t>
      </w:r>
    </w:p>
    <w:p w:rsidR="004F0132" w:rsidRPr="004F0132" w:rsidRDefault="004F0132" w:rsidP="004F0132">
      <w:pPr>
        <w:spacing w:after="0" w:line="240" w:lineRule="auto"/>
        <w:jc w:val="both"/>
        <w:rPr>
          <w:rFonts w:ascii="Times New Roman" w:hAnsi="Times New Roman"/>
          <w:sz w:val="18"/>
          <w:szCs w:val="24"/>
          <w:lang w:val="en-GB"/>
        </w:rPr>
      </w:pPr>
      <w:proofErr w:type="gramStart"/>
      <w:r w:rsidRPr="004F0132">
        <w:rPr>
          <w:rFonts w:ascii="Times New Roman" w:hAnsi="Times New Roman"/>
          <w:sz w:val="18"/>
          <w:szCs w:val="24"/>
          <w:lang w:val="en-GB"/>
        </w:rPr>
        <w:t>financial</w:t>
      </w:r>
      <w:proofErr w:type="gramEnd"/>
      <w:r w:rsidRPr="004F0132">
        <w:rPr>
          <w:rFonts w:ascii="Times New Roman" w:hAnsi="Times New Roman"/>
          <w:sz w:val="18"/>
          <w:szCs w:val="24"/>
          <w:lang w:val="en-GB"/>
        </w:rPr>
        <w:t xml:space="preserve"> crisis, financial fragility, financing policies, liquidity</w:t>
      </w:r>
      <w:r w:rsidR="00290CFF">
        <w:rPr>
          <w:rFonts w:ascii="Times New Roman" w:hAnsi="Times New Roman"/>
          <w:sz w:val="18"/>
          <w:szCs w:val="24"/>
          <w:lang w:val="en-GB"/>
        </w:rPr>
        <w:t>,</w:t>
      </w:r>
      <w:r w:rsidR="00290CFF" w:rsidRPr="00290CFF">
        <w:rPr>
          <w:rFonts w:ascii="Times New Roman" w:hAnsi="Times New Roman"/>
          <w:sz w:val="18"/>
          <w:szCs w:val="24"/>
          <w:lang w:val="en-GB"/>
        </w:rPr>
        <w:t xml:space="preserve"> </w:t>
      </w:r>
      <w:r w:rsidR="00290CFF" w:rsidRPr="004F0132">
        <w:rPr>
          <w:rFonts w:ascii="Times New Roman" w:hAnsi="Times New Roman"/>
          <w:sz w:val="18"/>
          <w:szCs w:val="24"/>
          <w:lang w:val="en-GB"/>
        </w:rPr>
        <w:t>solvency,</w:t>
      </w:r>
      <w:r w:rsidR="00290CFF" w:rsidRPr="00290CFF">
        <w:rPr>
          <w:rFonts w:ascii="Times New Roman" w:hAnsi="Times New Roman"/>
          <w:sz w:val="18"/>
          <w:szCs w:val="24"/>
          <w:lang w:val="en-GB"/>
        </w:rPr>
        <w:t xml:space="preserve"> </w:t>
      </w:r>
      <w:r w:rsidR="00290CFF">
        <w:rPr>
          <w:rFonts w:ascii="Times New Roman" w:hAnsi="Times New Roman"/>
          <w:sz w:val="18"/>
          <w:szCs w:val="24"/>
          <w:lang w:val="en-GB"/>
        </w:rPr>
        <w:t>vulnerability</w:t>
      </w:r>
      <w:r w:rsidRPr="004F0132">
        <w:rPr>
          <w:rFonts w:ascii="Times New Roman" w:hAnsi="Times New Roman"/>
          <w:sz w:val="18"/>
          <w:szCs w:val="24"/>
          <w:lang w:val="en-GB"/>
        </w:rPr>
        <w:t>.</w:t>
      </w:r>
    </w:p>
    <w:p w:rsidR="0065081A" w:rsidRPr="005E72E6" w:rsidRDefault="004F0132" w:rsidP="00A15675">
      <w:pPr>
        <w:spacing w:after="0" w:line="240" w:lineRule="auto"/>
        <w:rPr>
          <w:rFonts w:ascii="Times New Roman" w:hAnsi="Times New Roman"/>
          <w:color w:val="FF0000"/>
        </w:rPr>
      </w:pPr>
      <w:r>
        <w:rPr>
          <w:rFonts w:ascii="Times New Roman" w:hAnsi="Times New Roman"/>
          <w:color w:val="FF0000"/>
        </w:rPr>
        <w:t xml:space="preserve"> </w:t>
      </w:r>
    </w:p>
    <w:p w:rsidR="00A15675" w:rsidRPr="005E72E6" w:rsidRDefault="00A15675" w:rsidP="00A15675">
      <w:pPr>
        <w:spacing w:after="0" w:line="240" w:lineRule="auto"/>
        <w:jc w:val="both"/>
        <w:rPr>
          <w:rFonts w:ascii="Times New Roman" w:hAnsi="Times New Roman"/>
          <w:b/>
          <w:color w:val="FF0000"/>
          <w:sz w:val="20"/>
        </w:rPr>
      </w:pPr>
      <w:r w:rsidRPr="00233038">
        <w:rPr>
          <w:rFonts w:ascii="Times New Roman" w:hAnsi="Times New Roman"/>
          <w:b/>
          <w:sz w:val="20"/>
        </w:rPr>
        <w:t xml:space="preserve">JEL Classification </w:t>
      </w:r>
    </w:p>
    <w:p w:rsidR="00A15675" w:rsidRPr="00025623" w:rsidRDefault="002A647A" w:rsidP="00A15675">
      <w:pPr>
        <w:spacing w:after="0" w:line="240" w:lineRule="auto"/>
        <w:jc w:val="both"/>
        <w:rPr>
          <w:rFonts w:ascii="Times New Roman" w:hAnsi="Times New Roman"/>
          <w:color w:val="FF0000"/>
          <w:sz w:val="18"/>
          <w:szCs w:val="18"/>
        </w:rPr>
      </w:pPr>
      <w:r>
        <w:rPr>
          <w:rFonts w:ascii="Times New Roman" w:hAnsi="Times New Roman"/>
          <w:sz w:val="18"/>
          <w:szCs w:val="18"/>
        </w:rPr>
        <w:t>G32, G01</w:t>
      </w:r>
    </w:p>
    <w:p w:rsidR="00A15675" w:rsidRDefault="002A647A" w:rsidP="00A15675">
      <w:pPr>
        <w:spacing w:after="0" w:line="240" w:lineRule="auto"/>
        <w:rPr>
          <w:rFonts w:ascii="Times New Roman" w:hAnsi="Times New Roman"/>
          <w:color w:val="FF0000"/>
        </w:rPr>
      </w:pPr>
      <w:r>
        <w:rPr>
          <w:rFonts w:ascii="Times New Roman" w:hAnsi="Times New Roman"/>
          <w:color w:val="FF0000"/>
        </w:rPr>
        <w:t xml:space="preserve"> </w:t>
      </w:r>
    </w:p>
    <w:p w:rsidR="002A647A" w:rsidRDefault="002A647A" w:rsidP="00A15675">
      <w:pPr>
        <w:spacing w:after="0" w:line="240" w:lineRule="auto"/>
        <w:rPr>
          <w:rFonts w:ascii="Times New Roman" w:hAnsi="Times New Roman"/>
          <w:color w:val="FF0000"/>
        </w:rPr>
      </w:pPr>
    </w:p>
    <w:p w:rsidR="007666AF" w:rsidRPr="007666AF" w:rsidRDefault="007666AF" w:rsidP="007666AF">
      <w:pPr>
        <w:spacing w:after="0" w:line="240" w:lineRule="auto"/>
        <w:jc w:val="both"/>
        <w:rPr>
          <w:rFonts w:ascii="Times New Roman" w:hAnsi="Times New Roman"/>
          <w:b/>
          <w:szCs w:val="20"/>
          <w:lang w:val="en-GB"/>
        </w:rPr>
      </w:pPr>
      <w:r w:rsidRPr="007666AF">
        <w:rPr>
          <w:rFonts w:ascii="Times New Roman" w:hAnsi="Times New Roman"/>
          <w:b/>
          <w:szCs w:val="20"/>
          <w:lang w:val="en-GB"/>
        </w:rPr>
        <w:t>Introduction</w:t>
      </w:r>
    </w:p>
    <w:p w:rsidR="00290CFF" w:rsidRPr="00290CFF" w:rsidRDefault="00290CFF" w:rsidP="00064D40">
      <w:pPr>
        <w:spacing w:after="0" w:line="240" w:lineRule="auto"/>
        <w:jc w:val="both"/>
        <w:rPr>
          <w:rFonts w:ascii="Times New Roman" w:hAnsi="Times New Roman"/>
          <w:color w:val="000000" w:themeColor="text1"/>
          <w:sz w:val="20"/>
          <w:lang w:val="en-GB"/>
        </w:rPr>
      </w:pPr>
      <w:r w:rsidRPr="00290CFF">
        <w:rPr>
          <w:rFonts w:ascii="Times New Roman" w:hAnsi="Times New Roman"/>
          <w:color w:val="000000" w:themeColor="text1"/>
          <w:sz w:val="20"/>
          <w:lang w:val="en-GB"/>
        </w:rPr>
        <w:t xml:space="preserve">Unlike the earlier challenges that prompted research in the field (e.g. the capital structure irrelevance or relevance), the present-day challenge consists in the manner in which firms must finance so as to cope with the imbalances (such as crises) that affect the economy. To understand how firms secure the financing of their operations, it is necessary to examine the determining factors of the financing decision. Specialist literature includes a vast body of research on this issue; encapsulating the wide-ranging debates, the determining factors of financial structure have been grouped as follows: a) </w:t>
      </w:r>
      <w:r w:rsidRPr="00290CFF">
        <w:rPr>
          <w:rFonts w:ascii="Times New Roman" w:hAnsi="Times New Roman"/>
          <w:i/>
          <w:color w:val="000000" w:themeColor="text1"/>
          <w:sz w:val="20"/>
          <w:lang w:val="en-GB"/>
        </w:rPr>
        <w:t>firm-specific determining factors</w:t>
      </w:r>
      <w:r w:rsidRPr="00290CFF">
        <w:rPr>
          <w:rFonts w:ascii="Times New Roman" w:hAnsi="Times New Roman"/>
          <w:color w:val="000000" w:themeColor="text1"/>
          <w:sz w:val="20"/>
          <w:lang w:val="en-GB"/>
        </w:rPr>
        <w:t xml:space="preserve">; b) </w:t>
      </w:r>
      <w:r w:rsidRPr="00290CFF">
        <w:rPr>
          <w:rFonts w:ascii="Times New Roman" w:hAnsi="Times New Roman"/>
          <w:i/>
          <w:color w:val="000000" w:themeColor="text1"/>
          <w:sz w:val="20"/>
          <w:lang w:val="en-GB"/>
        </w:rPr>
        <w:t>industry-specific determining factor</w:t>
      </w:r>
      <w:r w:rsidRPr="00290CFF">
        <w:rPr>
          <w:rFonts w:ascii="Times New Roman" w:hAnsi="Times New Roman"/>
          <w:color w:val="000000" w:themeColor="text1"/>
          <w:sz w:val="20"/>
          <w:lang w:val="en-GB"/>
        </w:rPr>
        <w:t xml:space="preserve">); c) </w:t>
      </w:r>
      <w:r w:rsidRPr="00290CFF">
        <w:rPr>
          <w:rFonts w:ascii="Times New Roman" w:hAnsi="Times New Roman"/>
          <w:i/>
          <w:color w:val="000000" w:themeColor="text1"/>
          <w:sz w:val="20"/>
          <w:lang w:val="en-GB"/>
        </w:rPr>
        <w:t>country-specific determining</w:t>
      </w:r>
      <w:r w:rsidRPr="00290CFF">
        <w:rPr>
          <w:rFonts w:ascii="Times New Roman" w:hAnsi="Times New Roman"/>
          <w:color w:val="000000" w:themeColor="text1"/>
          <w:sz w:val="20"/>
          <w:lang w:val="en-GB"/>
        </w:rPr>
        <w:t>. Studies that explore the role of variables specific to firms, industries and countries in defining firms’ financing policies suggest that the three factor categories influence differently the corporate capital structure. Under normal circumstances, firm-specific factors wield the greatest influence over capital structure. However, in cases when the society is affected by major imbalances (such as crises), the dominance of the influence of specific factors over capital structure changes. As a result, in the context of crises associated with a systemic credit crunch, the impact of macroeconomic factors becomes more extensive, causing an increase in firms’ vulnerability and fragility.</w:t>
      </w:r>
    </w:p>
    <w:p w:rsidR="00290CFF" w:rsidRPr="00290CFF" w:rsidRDefault="00290CFF" w:rsidP="00064D40">
      <w:pPr>
        <w:spacing w:after="0" w:line="240" w:lineRule="auto"/>
        <w:jc w:val="both"/>
        <w:rPr>
          <w:rFonts w:ascii="Times New Roman" w:hAnsi="Times New Roman"/>
          <w:color w:val="000000" w:themeColor="text1"/>
          <w:sz w:val="20"/>
          <w:lang w:val="en-GB"/>
        </w:rPr>
      </w:pPr>
      <w:r w:rsidRPr="00290CFF">
        <w:rPr>
          <w:rFonts w:ascii="Times New Roman" w:hAnsi="Times New Roman"/>
          <w:color w:val="000000" w:themeColor="text1"/>
          <w:sz w:val="20"/>
          <w:lang w:val="en-GB"/>
        </w:rPr>
        <w:t xml:space="preserve">Research has shown that the effects of financing and risk management differ depending on the economic conditions in particular period (normal periods and crisis periods). Moreover, the empirical studies conducted have attempted to measure the </w:t>
      </w:r>
      <w:r w:rsidRPr="00290CFF">
        <w:rPr>
          <w:rFonts w:ascii="Times New Roman" w:hAnsi="Times New Roman"/>
          <w:color w:val="000000" w:themeColor="text1"/>
          <w:sz w:val="20"/>
          <w:lang w:val="en-GB"/>
        </w:rPr>
        <w:lastRenderedPageBreak/>
        <w:t>impact of funding shocks on corporate investment by examining the last financial crisis, viewing this as a natural research subject (</w:t>
      </w:r>
      <w:proofErr w:type="spellStart"/>
      <w:r w:rsidRPr="00290CFF">
        <w:rPr>
          <w:rFonts w:ascii="Times New Roman" w:hAnsi="Times New Roman"/>
          <w:color w:val="000000" w:themeColor="text1"/>
          <w:sz w:val="20"/>
          <w:lang w:val="en-GB"/>
        </w:rPr>
        <w:t>Campello</w:t>
      </w:r>
      <w:proofErr w:type="spellEnd"/>
      <w:r w:rsidRPr="00290CFF">
        <w:rPr>
          <w:rFonts w:ascii="Times New Roman" w:hAnsi="Times New Roman"/>
          <w:color w:val="000000" w:themeColor="text1"/>
          <w:sz w:val="20"/>
          <w:lang w:val="en-GB"/>
        </w:rPr>
        <w:t xml:space="preserve"> et al., 2010a; </w:t>
      </w:r>
      <w:proofErr w:type="spellStart"/>
      <w:r w:rsidRPr="00290CFF">
        <w:rPr>
          <w:rFonts w:ascii="Times New Roman" w:hAnsi="Times New Roman"/>
          <w:color w:val="000000" w:themeColor="text1"/>
          <w:sz w:val="20"/>
          <w:lang w:val="en-GB"/>
        </w:rPr>
        <w:t>Campello</w:t>
      </w:r>
      <w:proofErr w:type="spellEnd"/>
      <w:r w:rsidRPr="00290CFF">
        <w:rPr>
          <w:rFonts w:ascii="Times New Roman" w:hAnsi="Times New Roman"/>
          <w:color w:val="000000" w:themeColor="text1"/>
          <w:sz w:val="20"/>
          <w:lang w:val="en-GB"/>
        </w:rPr>
        <w:t xml:space="preserve"> et al., 2010b, </w:t>
      </w:r>
      <w:proofErr w:type="spellStart"/>
      <w:r w:rsidRPr="00290CFF">
        <w:rPr>
          <w:rFonts w:ascii="Times New Roman" w:hAnsi="Times New Roman"/>
          <w:color w:val="000000" w:themeColor="text1"/>
          <w:sz w:val="20"/>
          <w:lang w:val="en-GB"/>
        </w:rPr>
        <w:t>Duchin</w:t>
      </w:r>
      <w:proofErr w:type="spellEnd"/>
      <w:r w:rsidRPr="00290CFF">
        <w:rPr>
          <w:rFonts w:ascii="Times New Roman" w:hAnsi="Times New Roman"/>
          <w:color w:val="000000" w:themeColor="text1"/>
          <w:sz w:val="20"/>
          <w:lang w:val="en-GB"/>
        </w:rPr>
        <w:t xml:space="preserve"> et al., 2010; Almeida et al., 2012). These studies have focused on determining the degree to which firms anticipated the financial crisis, showing that, to the extent that firms can forecast an impending crisis, the real effects of financing can be offset before the shock. Comparing the two scenarios (anticipating the crisis or not), it has been shown that risk management mitigates funding shocks in two ways (Andersen, 2008): a) first, greater concern about the imminent onset of a financial crisis compels firms to invest more conservatively; b) second, by anticipating a higher likelihood of a crisis, firms set up monetary reserves that reduce the impact of financial shocks on investment.</w:t>
      </w:r>
    </w:p>
    <w:p w:rsidR="00290CFF" w:rsidRPr="00290CFF" w:rsidRDefault="00290CFF" w:rsidP="00064D40">
      <w:pPr>
        <w:autoSpaceDE w:val="0"/>
        <w:autoSpaceDN w:val="0"/>
        <w:adjustRightInd w:val="0"/>
        <w:spacing w:after="0" w:line="240" w:lineRule="auto"/>
        <w:jc w:val="both"/>
        <w:rPr>
          <w:rFonts w:ascii="Times New Roman" w:hAnsi="Times New Roman"/>
          <w:color w:val="000000" w:themeColor="text1"/>
          <w:sz w:val="20"/>
          <w:lang w:val="en-GB"/>
        </w:rPr>
      </w:pPr>
      <w:r w:rsidRPr="00290CFF">
        <w:rPr>
          <w:rFonts w:ascii="Times New Roman" w:hAnsi="Times New Roman"/>
          <w:color w:val="000000" w:themeColor="text1"/>
          <w:sz w:val="20"/>
          <w:lang w:val="en-GB"/>
        </w:rPr>
        <w:t>The main objective of this article is to examine the dynamics of firms’ financing in a crisis context in order to highlight the link between the various financial structures adopted by firms and their financial vulnerabilities. The methodology underlying the development of this article was hypothetical-deductive. By analysing and summarising the most relevant works in the field, we observed that the corporate financing focus is shifting from optimality to sustainability; under the banner of these transformations, the optimisation of firms’ financial structure must no longer target only the maximisation of shareholder earnings, but should also ensure financial sustainability while minimising risks.</w:t>
      </w:r>
    </w:p>
    <w:p w:rsidR="002A647A" w:rsidRPr="00290CFF" w:rsidRDefault="00290CFF" w:rsidP="00064D40">
      <w:pPr>
        <w:spacing w:after="0" w:line="240" w:lineRule="auto"/>
        <w:jc w:val="both"/>
        <w:rPr>
          <w:rFonts w:ascii="Times New Roman" w:hAnsi="Times New Roman"/>
          <w:color w:val="000000" w:themeColor="text1"/>
          <w:sz w:val="18"/>
          <w:szCs w:val="20"/>
          <w:lang w:val="en-GB"/>
        </w:rPr>
      </w:pPr>
      <w:r w:rsidRPr="00290CFF">
        <w:rPr>
          <w:rFonts w:ascii="Times New Roman" w:hAnsi="Times New Roman"/>
          <w:color w:val="000000" w:themeColor="text1"/>
          <w:sz w:val="20"/>
          <w:szCs w:val="24"/>
          <w:lang w:val="en-GB" w:eastAsia="ro-RO"/>
        </w:rPr>
        <w:t xml:space="preserve">Our study is structured as follows: section 2 presents the coordinates of </w:t>
      </w:r>
      <w:r w:rsidRPr="00290CFF">
        <w:rPr>
          <w:rStyle w:val="hps"/>
          <w:rFonts w:ascii="Times New Roman" w:hAnsi="Times New Roman"/>
          <w:color w:val="000000" w:themeColor="text1"/>
          <w:sz w:val="20"/>
          <w:szCs w:val="24"/>
          <w:lang w:val="en-GB"/>
        </w:rPr>
        <w:t>financial fragility</w:t>
      </w:r>
      <w:r w:rsidRPr="00290CFF">
        <w:rPr>
          <w:rFonts w:ascii="Times New Roman" w:hAnsi="Times New Roman"/>
          <w:color w:val="000000" w:themeColor="text1"/>
          <w:sz w:val="20"/>
          <w:szCs w:val="24"/>
          <w:lang w:val="en-GB"/>
        </w:rPr>
        <w:t xml:space="preserve">; </w:t>
      </w:r>
      <w:r w:rsidRPr="00290CFF">
        <w:rPr>
          <w:rFonts w:ascii="Times New Roman" w:hAnsi="Times New Roman"/>
          <w:color w:val="000000" w:themeColor="text1"/>
          <w:sz w:val="20"/>
          <w:szCs w:val="24"/>
          <w:lang w:val="en-GB" w:eastAsia="ro-RO"/>
        </w:rPr>
        <w:t xml:space="preserve">section 3 presents the </w:t>
      </w:r>
      <w:r w:rsidRPr="00290CFF">
        <w:rPr>
          <w:rFonts w:ascii="Times New Roman" w:hAnsi="Times New Roman"/>
          <w:color w:val="000000" w:themeColor="text1"/>
          <w:sz w:val="20"/>
          <w:szCs w:val="24"/>
          <w:lang w:val="en-GB"/>
        </w:rPr>
        <w:t xml:space="preserve">methodology of the research; </w:t>
      </w:r>
      <w:r w:rsidRPr="00290CFF">
        <w:rPr>
          <w:rFonts w:ascii="Times New Roman" w:hAnsi="Times New Roman"/>
          <w:color w:val="000000" w:themeColor="text1"/>
          <w:sz w:val="20"/>
          <w:szCs w:val="24"/>
          <w:lang w:val="en-GB" w:eastAsia="ro-RO"/>
        </w:rPr>
        <w:t xml:space="preserve">section 4 presents the </w:t>
      </w:r>
      <w:r w:rsidRPr="00290CFF">
        <w:rPr>
          <w:rFonts w:ascii="Times New Roman" w:hAnsi="Times New Roman"/>
          <w:color w:val="000000" w:themeColor="text1"/>
          <w:sz w:val="20"/>
          <w:szCs w:val="24"/>
          <w:lang w:val="en-GB"/>
        </w:rPr>
        <w:t>analysis of the effects of financing on financial vulnerability</w:t>
      </w:r>
      <w:r w:rsidRPr="00290CFF">
        <w:rPr>
          <w:rFonts w:ascii="Times New Roman" w:hAnsi="Times New Roman"/>
          <w:bCs/>
          <w:color w:val="000000" w:themeColor="text1"/>
          <w:sz w:val="20"/>
          <w:szCs w:val="24"/>
          <w:lang w:val="en-GB"/>
        </w:rPr>
        <w:t xml:space="preserve">; </w:t>
      </w:r>
      <w:r w:rsidRPr="00290CFF">
        <w:rPr>
          <w:rFonts w:ascii="Times New Roman" w:hAnsi="Times New Roman"/>
          <w:color w:val="000000" w:themeColor="text1"/>
          <w:sz w:val="20"/>
          <w:szCs w:val="24"/>
          <w:lang w:val="en-GB"/>
        </w:rPr>
        <w:t>the last section advances some conclusions.</w:t>
      </w:r>
    </w:p>
    <w:p w:rsidR="00290CFF" w:rsidRDefault="00290CFF" w:rsidP="007666AF">
      <w:pPr>
        <w:spacing w:after="0" w:line="240" w:lineRule="auto"/>
        <w:jc w:val="both"/>
        <w:rPr>
          <w:rStyle w:val="hps"/>
          <w:rFonts w:ascii="Times New Roman" w:hAnsi="Times New Roman"/>
          <w:b/>
          <w:szCs w:val="20"/>
          <w:lang w:val="en-GB"/>
        </w:rPr>
      </w:pPr>
    </w:p>
    <w:p w:rsidR="00064D40" w:rsidRDefault="00064D40" w:rsidP="007666AF">
      <w:pPr>
        <w:spacing w:after="0" w:line="240" w:lineRule="auto"/>
        <w:jc w:val="both"/>
        <w:rPr>
          <w:rStyle w:val="hps"/>
          <w:rFonts w:ascii="Times New Roman" w:hAnsi="Times New Roman"/>
          <w:b/>
          <w:szCs w:val="20"/>
          <w:lang w:val="en-GB"/>
        </w:rPr>
      </w:pPr>
    </w:p>
    <w:p w:rsidR="002A647A" w:rsidRPr="007666AF" w:rsidRDefault="007666AF" w:rsidP="007666AF">
      <w:pPr>
        <w:spacing w:after="0" w:line="240" w:lineRule="auto"/>
        <w:jc w:val="both"/>
        <w:rPr>
          <w:rStyle w:val="hps"/>
          <w:rFonts w:ascii="Times New Roman" w:hAnsi="Times New Roman"/>
          <w:b/>
          <w:szCs w:val="20"/>
          <w:lang w:val="en-GB"/>
        </w:rPr>
      </w:pPr>
      <w:r w:rsidRPr="007666AF">
        <w:rPr>
          <w:rStyle w:val="hps"/>
          <w:rFonts w:ascii="Times New Roman" w:hAnsi="Times New Roman"/>
          <w:b/>
          <w:szCs w:val="20"/>
          <w:lang w:val="en-GB"/>
        </w:rPr>
        <w:t>Financial fragility</w:t>
      </w:r>
    </w:p>
    <w:p w:rsidR="00290CFF" w:rsidRPr="00290CFF" w:rsidRDefault="00290CFF" w:rsidP="00290CFF">
      <w:pPr>
        <w:spacing w:after="0" w:line="240" w:lineRule="auto"/>
        <w:jc w:val="both"/>
        <w:rPr>
          <w:rStyle w:val="hps"/>
          <w:rFonts w:ascii="Times New Roman" w:hAnsi="Times New Roman"/>
          <w:sz w:val="20"/>
          <w:szCs w:val="20"/>
          <w:lang w:val="en-GB"/>
        </w:rPr>
      </w:pPr>
      <w:r w:rsidRPr="00290CFF">
        <w:rPr>
          <w:rStyle w:val="hps"/>
          <w:rFonts w:ascii="Times New Roman" w:hAnsi="Times New Roman"/>
          <w:sz w:val="20"/>
          <w:szCs w:val="20"/>
          <w:lang w:val="en-GB"/>
        </w:rPr>
        <w:t>Amid major imbalances, the increase of debt financing amplifies risks, causing firms to become more fragile from the financial perspective; conversely, internal financing (using retained earnings), being more stable and durable, entails minimal risk levels and improves financial vulnerability to crises.</w:t>
      </w:r>
    </w:p>
    <w:p w:rsidR="00290CFF" w:rsidRPr="00290CFF" w:rsidRDefault="00290CFF" w:rsidP="00064D40">
      <w:pPr>
        <w:spacing w:after="0" w:line="240" w:lineRule="auto"/>
        <w:jc w:val="both"/>
        <w:rPr>
          <w:rFonts w:ascii="Times New Roman" w:hAnsi="Times New Roman"/>
          <w:sz w:val="20"/>
          <w:szCs w:val="20"/>
          <w:lang w:val="en-GB"/>
        </w:rPr>
      </w:pPr>
      <w:r w:rsidRPr="00290CFF">
        <w:rPr>
          <w:rStyle w:val="hps"/>
          <w:rFonts w:ascii="Times New Roman" w:hAnsi="Times New Roman"/>
          <w:sz w:val="20"/>
          <w:szCs w:val="20"/>
          <w:lang w:val="en-GB"/>
        </w:rPr>
        <w:t xml:space="preserve">The formulation of the hypothesis of financial instability as a theoretical argument of crises was prompted by the following important observations </w:t>
      </w:r>
      <w:r w:rsidRPr="00290CFF">
        <w:rPr>
          <w:rFonts w:ascii="Times New Roman" w:hAnsi="Times New Roman"/>
          <w:sz w:val="20"/>
          <w:szCs w:val="20"/>
          <w:lang w:val="en-GB"/>
        </w:rPr>
        <w:t>(</w:t>
      </w:r>
      <w:proofErr w:type="spellStart"/>
      <w:r w:rsidRPr="00290CFF">
        <w:rPr>
          <w:rFonts w:ascii="Times New Roman" w:hAnsi="Times New Roman"/>
          <w:sz w:val="20"/>
          <w:szCs w:val="20"/>
          <w:lang w:val="en-GB"/>
        </w:rPr>
        <w:t>Iancu</w:t>
      </w:r>
      <w:proofErr w:type="spellEnd"/>
      <w:r w:rsidRPr="00290CFF">
        <w:rPr>
          <w:rFonts w:ascii="Times New Roman" w:hAnsi="Times New Roman"/>
          <w:sz w:val="20"/>
          <w:szCs w:val="20"/>
          <w:lang w:val="en-GB"/>
        </w:rPr>
        <w:t xml:space="preserve">, 2010): </w:t>
      </w:r>
    </w:p>
    <w:p w:rsidR="00290CFF" w:rsidRPr="00290CFF" w:rsidRDefault="00290CFF" w:rsidP="00064D40">
      <w:pPr>
        <w:spacing w:after="0" w:line="240" w:lineRule="auto"/>
        <w:jc w:val="both"/>
        <w:rPr>
          <w:rStyle w:val="hps"/>
          <w:rFonts w:ascii="Times New Roman" w:hAnsi="Times New Roman"/>
          <w:sz w:val="20"/>
          <w:szCs w:val="20"/>
          <w:lang w:val="en-GB"/>
        </w:rPr>
      </w:pPr>
      <w:r w:rsidRPr="00290CFF">
        <w:rPr>
          <w:rFonts w:ascii="Times New Roman" w:hAnsi="Times New Roman"/>
          <w:sz w:val="20"/>
          <w:szCs w:val="20"/>
          <w:lang w:val="en-GB"/>
        </w:rPr>
        <w:t xml:space="preserve">a) </w:t>
      </w:r>
      <w:r w:rsidRPr="00290CFF">
        <w:rPr>
          <w:rStyle w:val="hps"/>
          <w:rFonts w:ascii="Times New Roman" w:hAnsi="Times New Roman"/>
          <w:sz w:val="20"/>
          <w:szCs w:val="20"/>
          <w:lang w:val="en-GB"/>
        </w:rPr>
        <w:t xml:space="preserve"> the foundations of the modern capitalist economy there are, on the one hand, the investments in financial (capital) assets and, on the other, a sophisticated and complex financial system interconnected with the investment and the real economy processes; </w:t>
      </w:r>
    </w:p>
    <w:p w:rsidR="00290CFF" w:rsidRPr="00290CFF" w:rsidRDefault="00290CFF" w:rsidP="00064D40">
      <w:pPr>
        <w:spacing w:after="0" w:line="240" w:lineRule="auto"/>
        <w:jc w:val="both"/>
        <w:rPr>
          <w:rStyle w:val="hps"/>
          <w:rFonts w:ascii="Times New Roman" w:hAnsi="Times New Roman"/>
          <w:sz w:val="20"/>
          <w:szCs w:val="20"/>
          <w:lang w:val="en-GB"/>
        </w:rPr>
      </w:pPr>
      <w:r w:rsidRPr="00290CFF">
        <w:rPr>
          <w:rStyle w:val="hps"/>
          <w:rFonts w:ascii="Times New Roman" w:hAnsi="Times New Roman"/>
          <w:sz w:val="20"/>
          <w:szCs w:val="20"/>
          <w:lang w:val="en-GB"/>
        </w:rPr>
        <w:t xml:space="preserve">b) </w:t>
      </w:r>
      <w:proofErr w:type="gramStart"/>
      <w:r w:rsidRPr="00290CFF">
        <w:rPr>
          <w:rStyle w:val="hps"/>
          <w:rFonts w:ascii="Times New Roman" w:hAnsi="Times New Roman"/>
          <w:sz w:val="20"/>
          <w:szCs w:val="20"/>
          <w:lang w:val="en-GB"/>
        </w:rPr>
        <w:t>financial</w:t>
      </w:r>
      <w:proofErr w:type="gramEnd"/>
      <w:r w:rsidRPr="00290CFF">
        <w:rPr>
          <w:rStyle w:val="hps"/>
          <w:rFonts w:ascii="Times New Roman" w:hAnsi="Times New Roman"/>
          <w:sz w:val="20"/>
          <w:szCs w:val="20"/>
          <w:lang w:val="en-GB"/>
        </w:rPr>
        <w:t xml:space="preserve"> assets, which have the capacity to generate revenue/profit, determine firms to earmark increasing funds (including borrowed ones) for investments as they anticipate future earnings; </w:t>
      </w:r>
    </w:p>
    <w:p w:rsidR="00290CFF" w:rsidRPr="00290CFF" w:rsidRDefault="00290CFF" w:rsidP="00064D40">
      <w:pPr>
        <w:spacing w:after="0" w:line="240" w:lineRule="auto"/>
        <w:jc w:val="both"/>
        <w:rPr>
          <w:rStyle w:val="hps"/>
          <w:rFonts w:ascii="Times New Roman" w:hAnsi="Times New Roman"/>
          <w:sz w:val="20"/>
          <w:szCs w:val="20"/>
          <w:lang w:val="en-GB"/>
        </w:rPr>
      </w:pPr>
      <w:r w:rsidRPr="00290CFF">
        <w:rPr>
          <w:rStyle w:val="hps"/>
          <w:rFonts w:ascii="Times New Roman" w:hAnsi="Times New Roman"/>
          <w:sz w:val="20"/>
          <w:szCs w:val="20"/>
          <w:lang w:val="en-GB"/>
        </w:rPr>
        <w:t xml:space="preserve">c) </w:t>
      </w:r>
      <w:proofErr w:type="gramStart"/>
      <w:r w:rsidRPr="00290CFF">
        <w:rPr>
          <w:rStyle w:val="hps"/>
          <w:rFonts w:ascii="Times New Roman" w:hAnsi="Times New Roman"/>
          <w:sz w:val="20"/>
          <w:szCs w:val="20"/>
          <w:lang w:val="en-GB"/>
        </w:rPr>
        <w:t>as</w:t>
      </w:r>
      <w:proofErr w:type="gramEnd"/>
      <w:r w:rsidRPr="00290CFF">
        <w:rPr>
          <w:rStyle w:val="hps"/>
          <w:rFonts w:ascii="Times New Roman" w:hAnsi="Times New Roman"/>
          <w:sz w:val="20"/>
          <w:szCs w:val="20"/>
          <w:lang w:val="en-GB"/>
        </w:rPr>
        <w:t xml:space="preserve"> a result of the above, there is a general tendency of the financial system to become increasingly leveraged, especially during times of prosperity, which leads to a rise in the degree of vulnerability in the context of potential crises (including in the case of potential systemic credit squeeze).</w:t>
      </w:r>
    </w:p>
    <w:p w:rsidR="00290CFF" w:rsidRPr="00290CFF" w:rsidRDefault="00290CFF" w:rsidP="00064D40">
      <w:pPr>
        <w:spacing w:after="0" w:line="240" w:lineRule="auto"/>
        <w:jc w:val="both"/>
        <w:rPr>
          <w:rFonts w:ascii="Times New Roman" w:hAnsi="Times New Roman"/>
          <w:sz w:val="20"/>
          <w:szCs w:val="20"/>
          <w:lang w:val="en-GB"/>
        </w:rPr>
      </w:pPr>
      <w:r w:rsidRPr="00290CFF">
        <w:rPr>
          <w:rFonts w:ascii="Times New Roman" w:hAnsi="Times New Roman"/>
          <w:sz w:val="20"/>
          <w:szCs w:val="20"/>
          <w:lang w:val="en-GB"/>
        </w:rPr>
        <w:t>In an environment that favoured indebtedness, almost all firms end up being over-indebted and face similar financing problems. Amid a systemic credit crunch, it is rarely possible to finance the firm by contracting new loans. In such a situation, solvent yet illiquid firms may be forced into bankruptcy to the extent that they are temporarily unable to meet their debt commitments (</w:t>
      </w:r>
      <w:proofErr w:type="spellStart"/>
      <w:r w:rsidRPr="00290CFF">
        <w:rPr>
          <w:rFonts w:ascii="Times New Roman" w:hAnsi="Times New Roman"/>
          <w:sz w:val="20"/>
          <w:szCs w:val="20"/>
          <w:lang w:val="en-GB"/>
        </w:rPr>
        <w:t>Sen</w:t>
      </w:r>
      <w:proofErr w:type="spellEnd"/>
      <w:r w:rsidRPr="00290CFF">
        <w:rPr>
          <w:rFonts w:ascii="Times New Roman" w:hAnsi="Times New Roman"/>
          <w:sz w:val="20"/>
          <w:szCs w:val="20"/>
          <w:lang w:val="en-GB"/>
        </w:rPr>
        <w:t xml:space="preserve">, 2010). On the other hand, during periods of systemic constraints on liquidity, the odds of financing the cash flow deficit by selling the firm’s assets is also limited, because other firms behave in the same way to finance their own needs. Even with a very low level of debt, firms cannot avoid the crisis, because converting assets into liquidity would not be possible. In relatively calm periods, liquidity is less important than solvency, because a solvent </w:t>
      </w:r>
      <w:r w:rsidRPr="00290CFF">
        <w:rPr>
          <w:rFonts w:ascii="Times New Roman" w:hAnsi="Times New Roman"/>
          <w:sz w:val="20"/>
          <w:szCs w:val="20"/>
          <w:lang w:val="en-GB"/>
        </w:rPr>
        <w:lastRenderedPageBreak/>
        <w:t xml:space="preserve">firm will be able to find financing to cover potential liquidity problems. In a crisis atmosphere, liquidity can become more important </w:t>
      </w:r>
      <w:r w:rsidRPr="00290CFF">
        <w:rPr>
          <w:rStyle w:val="hpsatn"/>
          <w:rFonts w:ascii="Times New Roman" w:hAnsi="Times New Roman"/>
          <w:sz w:val="20"/>
          <w:szCs w:val="20"/>
          <w:lang w:val="en-GB"/>
        </w:rPr>
        <w:t>(</w:t>
      </w:r>
      <w:r w:rsidRPr="00290CFF">
        <w:rPr>
          <w:rFonts w:ascii="Times New Roman" w:hAnsi="Times New Roman"/>
          <w:sz w:val="20"/>
          <w:szCs w:val="20"/>
          <w:lang w:val="en-GB"/>
        </w:rPr>
        <w:t xml:space="preserve">Bernanke et al., 1988). </w:t>
      </w:r>
    </w:p>
    <w:p w:rsidR="00290CFF" w:rsidRPr="00290CFF" w:rsidRDefault="00290CFF" w:rsidP="00064D40">
      <w:pPr>
        <w:spacing w:after="0" w:line="240" w:lineRule="auto"/>
        <w:jc w:val="both"/>
        <w:rPr>
          <w:rFonts w:ascii="Times New Roman" w:hAnsi="Times New Roman"/>
          <w:sz w:val="20"/>
          <w:szCs w:val="20"/>
          <w:lang w:val="en-GB"/>
        </w:rPr>
      </w:pPr>
      <w:r w:rsidRPr="00290CFF">
        <w:rPr>
          <w:rFonts w:ascii="Times New Roman" w:hAnsi="Times New Roman"/>
          <w:sz w:val="20"/>
          <w:szCs w:val="20"/>
          <w:lang w:val="en-GB"/>
        </w:rPr>
        <w:t xml:space="preserve">By correlating the grouping of units based on the </w:t>
      </w:r>
      <w:proofErr w:type="spellStart"/>
      <w:r w:rsidRPr="00290CFF">
        <w:rPr>
          <w:rFonts w:ascii="Times New Roman" w:hAnsi="Times New Roman"/>
          <w:sz w:val="20"/>
          <w:szCs w:val="20"/>
          <w:lang w:val="en-GB"/>
        </w:rPr>
        <w:t>Minskyan</w:t>
      </w:r>
      <w:proofErr w:type="spellEnd"/>
      <w:r w:rsidRPr="00290CFF">
        <w:rPr>
          <w:rFonts w:ascii="Times New Roman" w:hAnsi="Times New Roman"/>
          <w:sz w:val="20"/>
          <w:szCs w:val="20"/>
          <w:lang w:val="en-GB"/>
        </w:rPr>
        <w:t xml:space="preserve"> model  (</w:t>
      </w:r>
      <w:r w:rsidRPr="00290CFF">
        <w:rPr>
          <w:rFonts w:ascii="Times New Roman" w:hAnsi="Times New Roman"/>
          <w:iCs/>
          <w:sz w:val="20"/>
          <w:szCs w:val="20"/>
          <w:lang w:val="en-GB"/>
        </w:rPr>
        <w:t xml:space="preserve">hedge units; </w:t>
      </w:r>
      <w:r w:rsidRPr="00290CFF">
        <w:rPr>
          <w:rFonts w:ascii="Times New Roman" w:hAnsi="Times New Roman"/>
          <w:sz w:val="20"/>
          <w:szCs w:val="20"/>
          <w:lang w:val="en-GB"/>
        </w:rPr>
        <w:t>s</w:t>
      </w:r>
      <w:r w:rsidRPr="00290CFF">
        <w:rPr>
          <w:rFonts w:ascii="Times New Roman" w:hAnsi="Times New Roman"/>
          <w:iCs/>
          <w:sz w:val="20"/>
          <w:szCs w:val="20"/>
          <w:lang w:val="en-GB"/>
        </w:rPr>
        <w:t>peculative units; Ponzi units</w:t>
      </w:r>
      <w:r w:rsidRPr="00290CFF">
        <w:rPr>
          <w:rFonts w:ascii="Times New Roman" w:hAnsi="Times New Roman"/>
          <w:sz w:val="20"/>
          <w:szCs w:val="20"/>
          <w:lang w:val="en-GB"/>
        </w:rPr>
        <w:t>) with the systemic credit squeeze, recent research (</w:t>
      </w:r>
      <w:proofErr w:type="spellStart"/>
      <w:r w:rsidRPr="00290CFF">
        <w:rPr>
          <w:rFonts w:ascii="Times New Roman" w:hAnsi="Times New Roman"/>
          <w:sz w:val="20"/>
          <w:szCs w:val="20"/>
          <w:lang w:val="en-GB"/>
        </w:rPr>
        <w:t>Sen</w:t>
      </w:r>
      <w:proofErr w:type="spellEnd"/>
      <w:r w:rsidRPr="00290CFF">
        <w:rPr>
          <w:rFonts w:ascii="Times New Roman" w:hAnsi="Times New Roman"/>
          <w:sz w:val="20"/>
          <w:szCs w:val="20"/>
          <w:lang w:val="en-GB"/>
        </w:rPr>
        <w:t xml:space="preserve">, 2010) has highlighted that, although a firm may be viewed as a hedge unit, a systemic credit crunch can induce financial structure fragility (which runs counter to the initial </w:t>
      </w:r>
      <w:proofErr w:type="spellStart"/>
      <w:r w:rsidRPr="00290CFF">
        <w:rPr>
          <w:rFonts w:ascii="Times New Roman" w:hAnsi="Times New Roman"/>
          <w:sz w:val="20"/>
          <w:szCs w:val="20"/>
          <w:lang w:val="en-GB"/>
        </w:rPr>
        <w:t>Minskyan</w:t>
      </w:r>
      <w:proofErr w:type="spellEnd"/>
      <w:r w:rsidRPr="00290CFF">
        <w:rPr>
          <w:rFonts w:ascii="Times New Roman" w:hAnsi="Times New Roman"/>
          <w:sz w:val="20"/>
          <w:szCs w:val="20"/>
          <w:lang w:val="en-GB"/>
        </w:rPr>
        <w:t xml:space="preserve"> claims). This is due to the fact that the crisis can be so severe, systemic and devastating on a global scale, that the firms’ prospects of achieving target earnings would suddenly dry up.</w:t>
      </w:r>
    </w:p>
    <w:p w:rsidR="002A647A" w:rsidRPr="00290CFF" w:rsidRDefault="00290CFF" w:rsidP="00064D40">
      <w:pPr>
        <w:spacing w:after="0" w:line="240" w:lineRule="auto"/>
        <w:jc w:val="both"/>
        <w:rPr>
          <w:rFonts w:ascii="Times New Roman" w:hAnsi="Times New Roman"/>
          <w:sz w:val="20"/>
          <w:szCs w:val="20"/>
          <w:lang w:val="en-GB"/>
        </w:rPr>
      </w:pPr>
      <w:r w:rsidRPr="00290CFF">
        <w:rPr>
          <w:rFonts w:ascii="Times New Roman" w:hAnsi="Times New Roman"/>
          <w:sz w:val="20"/>
          <w:szCs w:val="20"/>
          <w:lang w:val="en-GB"/>
        </w:rPr>
        <w:t>The conclusion that emerges is that although they offer a range of advantages, debts trigger serious problems related to financial fragility compared to financing using retained earnings and own capital. In an environment of uncertainty over projected income, even though firms may have the lowest debt ratio, making debt payments at scheduled maturity can pose serious problems. Any economy that relies on uncontrolled leverage is doomed to collapse eventually. Under such circumstances, John K. Galbraith’s postulate, proclaimed as early as 1958, still proves its veracity: credit-driven growth is not sustainable.</w:t>
      </w:r>
    </w:p>
    <w:p w:rsidR="002A647A" w:rsidRPr="00064D40" w:rsidRDefault="002A647A" w:rsidP="00064D40">
      <w:pPr>
        <w:spacing w:after="0" w:line="240" w:lineRule="auto"/>
        <w:jc w:val="both"/>
        <w:rPr>
          <w:rFonts w:ascii="Times New Roman" w:hAnsi="Times New Roman"/>
          <w:lang w:val="en-GB"/>
        </w:rPr>
      </w:pPr>
    </w:p>
    <w:p w:rsidR="00064D40" w:rsidRPr="00064D40" w:rsidRDefault="00064D40" w:rsidP="00064D40">
      <w:pPr>
        <w:spacing w:after="0" w:line="240" w:lineRule="auto"/>
        <w:jc w:val="both"/>
        <w:rPr>
          <w:rFonts w:ascii="Times New Roman" w:hAnsi="Times New Roman"/>
          <w:lang w:val="en-GB"/>
        </w:rPr>
      </w:pPr>
    </w:p>
    <w:p w:rsidR="00290CFF" w:rsidRPr="00064D40" w:rsidRDefault="00290CFF" w:rsidP="00064D40">
      <w:pPr>
        <w:spacing w:after="0" w:line="240" w:lineRule="auto"/>
        <w:rPr>
          <w:rFonts w:ascii="Times New Roman" w:hAnsi="Times New Roman"/>
          <w:b/>
          <w:lang w:val="en-GB"/>
        </w:rPr>
      </w:pPr>
      <w:r w:rsidRPr="00064D40">
        <w:rPr>
          <w:rFonts w:ascii="Times New Roman" w:hAnsi="Times New Roman"/>
          <w:b/>
          <w:lang w:val="en-GB"/>
        </w:rPr>
        <w:t>Methodology of the research</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The examined sample consists of 90 companies listed on the Bucharest Stock Exchange. As for the delimitation of the period under review, we looked at the 2006-2011 period in order to capture the peculiarities of developments prior to and during the crisis. Information was collected from the annual financial statements (available both on the website of Ministry of Finance, in the </w:t>
      </w:r>
      <w:r w:rsidRPr="00290CFF">
        <w:rPr>
          <w:rFonts w:ascii="Times New Roman" w:hAnsi="Times New Roman"/>
          <w:i/>
          <w:sz w:val="20"/>
          <w:lang w:val="en-GB"/>
        </w:rPr>
        <w:t xml:space="preserve">companies information </w:t>
      </w:r>
      <w:r w:rsidRPr="00290CFF">
        <w:rPr>
          <w:rFonts w:ascii="Times New Roman" w:hAnsi="Times New Roman"/>
          <w:sz w:val="20"/>
          <w:lang w:val="en-GB"/>
        </w:rPr>
        <w:t>section and on the website of each company)</w:t>
      </w:r>
      <w:r w:rsidRPr="00290CFF">
        <w:rPr>
          <w:rFonts w:ascii="Times New Roman" w:hAnsi="Times New Roman"/>
          <w:color w:val="C00000"/>
          <w:sz w:val="20"/>
          <w:lang w:val="en-GB"/>
        </w:rPr>
        <w:t>.</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The </w:t>
      </w:r>
      <w:r w:rsidRPr="00290CFF">
        <w:rPr>
          <w:rFonts w:ascii="Times New Roman" w:hAnsi="Times New Roman"/>
          <w:i/>
          <w:sz w:val="20"/>
          <w:lang w:val="en-GB"/>
        </w:rPr>
        <w:t>current ratio</w:t>
      </w:r>
      <w:r w:rsidRPr="00290CFF">
        <w:rPr>
          <w:rFonts w:ascii="Times New Roman" w:hAnsi="Times New Roman"/>
          <w:sz w:val="20"/>
          <w:lang w:val="en-GB"/>
        </w:rPr>
        <w:t xml:space="preserve"> reflects the potential for certain assets to be turned, over the short term, into liquidity to meet current payment obligations. One of the fundamental principles of the financial equilibrium of a company states the current assets value must be always higher than the accounts payable or current liabilities. Reference values ​​of this indicator are: the minimum accepted value is 1, below this level the company being at risk of default; the maximum acceptable value is 2, above this level use of current assets being considered improper. The accounting regulations harmonised states that </w:t>
      </w:r>
      <w:r w:rsidRPr="00290CFF">
        <w:rPr>
          <w:rFonts w:ascii="Times New Roman" w:hAnsi="Times New Roman"/>
          <w:i/>
          <w:sz w:val="20"/>
          <w:lang w:val="en-GB"/>
        </w:rPr>
        <w:t>the recommended accepted value</w:t>
      </w:r>
      <w:r w:rsidRPr="00290CFF">
        <w:rPr>
          <w:rFonts w:ascii="Times New Roman" w:hAnsi="Times New Roman"/>
          <w:sz w:val="20"/>
          <w:lang w:val="en-GB"/>
        </w:rPr>
        <w:t xml:space="preserve"> – of the current ratio</w:t>
      </w:r>
      <w:r w:rsidRPr="00290CFF">
        <w:rPr>
          <w:rFonts w:ascii="Times New Roman" w:hAnsi="Times New Roman"/>
          <w:i/>
          <w:sz w:val="20"/>
          <w:lang w:val="en-GB"/>
        </w:rPr>
        <w:t xml:space="preserve"> – is around 2</w:t>
      </w:r>
      <w:r w:rsidRPr="00290CFF">
        <w:rPr>
          <w:rFonts w:ascii="Times New Roman" w:hAnsi="Times New Roman"/>
          <w:sz w:val="20"/>
          <w:lang w:val="en-GB"/>
        </w:rPr>
        <w:t>.</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To determine </w:t>
      </w:r>
      <w:r w:rsidRPr="00290CFF">
        <w:rPr>
          <w:rFonts w:ascii="Times New Roman" w:hAnsi="Times New Roman"/>
          <w:i/>
          <w:sz w:val="20"/>
          <w:lang w:val="en-GB"/>
        </w:rPr>
        <w:t>solvency</w:t>
      </w:r>
      <w:r w:rsidRPr="00290CFF">
        <w:rPr>
          <w:rFonts w:ascii="Times New Roman" w:hAnsi="Times New Roman"/>
          <w:sz w:val="20"/>
          <w:lang w:val="en-GB"/>
        </w:rPr>
        <w:t>, we considered two categories of information: equity and total financial liabilities. Solvency restores a debtor’s opportunity to have sufficient assets to be able to meet payment obligations.</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In assessing the headline threshold for this indicator, we considered two further indicators:</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 Debt/equity ratio – based on how it was calculated (as the ratio of medium and long-term debt and total liabilities, plus equity), it can be interpreted as the share of medium and long-term debt in the permanent capital; the minimum threshold for the solvency indicator must be 1 (equity must cover at least the financial liabilities while the other side of permanent capital should cover non-financial debt and possibly part of current assets);</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The mean share of medium and long-term debt (out of total liabilities) - provides information on the structure of working capital; </w:t>
      </w:r>
      <w:r w:rsidR="00BB7E3B" w:rsidRPr="00BB7E3B">
        <w:rPr>
          <w:rStyle w:val="shorttext"/>
          <w:rFonts w:ascii="Times New Roman" w:hAnsi="Times New Roman"/>
          <w:sz w:val="20"/>
          <w:lang w:val="en"/>
        </w:rPr>
        <w:t>when the indicator value is low</w:t>
      </w:r>
      <w:r w:rsidR="00BB7E3B" w:rsidRPr="00BB7E3B">
        <w:rPr>
          <w:rFonts w:ascii="Times New Roman" w:hAnsi="Times New Roman"/>
          <w:sz w:val="20"/>
          <w:lang w:val="en-GB"/>
        </w:rPr>
        <w:t>, ensuring</w:t>
      </w:r>
      <w:r w:rsidRPr="00290CFF">
        <w:rPr>
          <w:rFonts w:ascii="Times New Roman" w:hAnsi="Times New Roman"/>
          <w:sz w:val="20"/>
          <w:lang w:val="en-GB"/>
        </w:rPr>
        <w:t xml:space="preserve"> </w:t>
      </w:r>
      <w:r w:rsidR="00BB7E3B">
        <w:rPr>
          <w:rFonts w:ascii="Times New Roman" w:hAnsi="Times New Roman"/>
          <w:sz w:val="20"/>
          <w:lang w:val="en-GB"/>
        </w:rPr>
        <w:t>t</w:t>
      </w:r>
      <w:r w:rsidRPr="00290CFF">
        <w:rPr>
          <w:rFonts w:ascii="Times New Roman" w:hAnsi="Times New Roman"/>
          <w:sz w:val="20"/>
          <w:lang w:val="en-GB"/>
        </w:rPr>
        <w:t>he financial stability depends primarily on the size of equity; this predetermines us to recognise same minimum threshold for solvency.</w:t>
      </w:r>
    </w:p>
    <w:p w:rsidR="00290CFF" w:rsidRPr="00290CFF" w:rsidRDefault="00290CFF" w:rsidP="00064D40">
      <w:pPr>
        <w:spacing w:after="0" w:line="240" w:lineRule="auto"/>
        <w:jc w:val="both"/>
        <w:rPr>
          <w:rFonts w:ascii="Times New Roman" w:hAnsi="Times New Roman"/>
          <w:sz w:val="20"/>
          <w:lang w:val="en-GB"/>
        </w:rPr>
      </w:pPr>
    </w:p>
    <w:p w:rsidR="00290CFF" w:rsidRPr="00290CFF" w:rsidRDefault="00290CFF" w:rsidP="00064D40">
      <w:pPr>
        <w:spacing w:after="0" w:line="240" w:lineRule="auto"/>
        <w:jc w:val="both"/>
        <w:rPr>
          <w:rFonts w:ascii="Times New Roman" w:hAnsi="Times New Roman"/>
          <w:sz w:val="20"/>
          <w:lang w:val="en-GB"/>
        </w:rPr>
      </w:pP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lastRenderedPageBreak/>
        <w:t xml:space="preserve">c) To examine the evolution of the </w:t>
      </w:r>
      <w:r w:rsidRPr="00290CFF">
        <w:rPr>
          <w:rFonts w:ascii="Times New Roman" w:hAnsi="Times New Roman"/>
          <w:i/>
          <w:sz w:val="20"/>
          <w:lang w:val="en-GB"/>
        </w:rPr>
        <w:t xml:space="preserve">cash-flow </w:t>
      </w:r>
      <w:r w:rsidRPr="00290CFF">
        <w:rPr>
          <w:rFonts w:ascii="Times New Roman" w:hAnsi="Times New Roman"/>
          <w:sz w:val="20"/>
          <w:lang w:val="en-GB"/>
        </w:rPr>
        <w:t xml:space="preserve">we relied on </w:t>
      </w:r>
      <w:r w:rsidRPr="00290CFF">
        <w:rPr>
          <w:rFonts w:ascii="Times New Roman" w:hAnsi="Times New Roman"/>
          <w:i/>
          <w:sz w:val="20"/>
          <w:lang w:val="en-GB"/>
        </w:rPr>
        <w:t>the French model</w:t>
      </w:r>
      <w:r w:rsidRPr="00290CFF">
        <w:rPr>
          <w:rFonts w:ascii="Times New Roman" w:hAnsi="Times New Roman"/>
          <w:sz w:val="20"/>
          <w:lang w:val="en-GB"/>
        </w:rPr>
        <w:t>, which accounts for the variation of net cash flow based on the interaction between long-term and short-term equilibrium, respectively, on the variation of the working capital and the working capital requirement (ΔCF = ΔWC – ΔWCR).</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To assess changes in net cash flow (at the end of the year compared to the beginning of the year), we collected information on the working capital and the working capital requirement. The increase in working capital is evidence of improvement in the company’s financial structure, namely the increased share of stable to permanent needs. The same growth demonstrates the company’s capacity to generate cash both at the top and the bottom section of the balance sheet and to improve its cash position considerably. Conversely, the decrease in working capital is evidence of a financial imbalance: permanent needs are covered with short-term resources. This situation, coupled with the increased working capital requirement, leads to chronic cash flow imbalance, respectively, to a greater risk of bankruptcy for the company.</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i/>
          <w:sz w:val="20"/>
          <w:lang w:val="en-GB"/>
        </w:rPr>
        <w:t>A positive change in net cash flow</w:t>
      </w:r>
      <w:r w:rsidRPr="00290CFF">
        <w:rPr>
          <w:rFonts w:ascii="Times New Roman" w:hAnsi="Times New Roman"/>
          <w:sz w:val="20"/>
          <w:lang w:val="en-GB"/>
        </w:rPr>
        <w:t xml:space="preserve"> is interpreted as an increase in the real capacity to finance investment. A negative variation suggests a decline in real financing investment capacity (i.e., a reduction in asset value).</w:t>
      </w:r>
    </w:p>
    <w:p w:rsidR="00290CFF" w:rsidRPr="00290CFF" w:rsidRDefault="00290CFF" w:rsidP="00064D40">
      <w:pPr>
        <w:spacing w:after="0" w:line="240" w:lineRule="auto"/>
        <w:jc w:val="both"/>
        <w:rPr>
          <w:rFonts w:ascii="Times New Roman" w:hAnsi="Times New Roman"/>
          <w:sz w:val="20"/>
          <w:lang w:val="en-GB"/>
        </w:rPr>
      </w:pPr>
      <w:r w:rsidRPr="00290CFF">
        <w:rPr>
          <w:rFonts w:ascii="Times New Roman" w:hAnsi="Times New Roman"/>
          <w:sz w:val="20"/>
          <w:lang w:val="en-GB"/>
        </w:rPr>
        <w:t>Given the dependence of cash flow to the change in the working capital requirement, it is assumed that a profitable company does not necessarily have a positive cash flow, as the latter is dependent on variations in financing requirements and, furthermore, on fluctuations in making or receiving payments.</w:t>
      </w:r>
    </w:p>
    <w:p w:rsidR="00290CFF" w:rsidRDefault="00290CFF" w:rsidP="00064D40">
      <w:pPr>
        <w:spacing w:after="0" w:line="240" w:lineRule="auto"/>
        <w:jc w:val="both"/>
        <w:rPr>
          <w:rFonts w:ascii="Times New Roman" w:hAnsi="Times New Roman"/>
          <w:b/>
          <w:color w:val="FF0000"/>
          <w:lang w:val="en-GB" w:eastAsia="ro-RO"/>
        </w:rPr>
      </w:pPr>
    </w:p>
    <w:p w:rsidR="00064D40" w:rsidRPr="00064D40" w:rsidRDefault="00064D40" w:rsidP="00064D40">
      <w:pPr>
        <w:spacing w:after="0" w:line="240" w:lineRule="auto"/>
        <w:jc w:val="both"/>
        <w:rPr>
          <w:rFonts w:ascii="Times New Roman" w:hAnsi="Times New Roman"/>
          <w:b/>
          <w:color w:val="FF0000"/>
          <w:lang w:val="en-GB" w:eastAsia="ro-RO"/>
        </w:rPr>
      </w:pPr>
    </w:p>
    <w:p w:rsidR="00290CFF" w:rsidRPr="00064D40" w:rsidRDefault="00290CFF" w:rsidP="00064D40">
      <w:pPr>
        <w:spacing w:after="0" w:line="240" w:lineRule="auto"/>
        <w:jc w:val="both"/>
        <w:rPr>
          <w:rFonts w:ascii="Times New Roman" w:hAnsi="Times New Roman"/>
          <w:b/>
          <w:lang w:val="en-GB" w:eastAsia="ro-RO"/>
        </w:rPr>
      </w:pPr>
      <w:r w:rsidRPr="00064D40">
        <w:rPr>
          <w:rFonts w:ascii="Times New Roman" w:hAnsi="Times New Roman"/>
          <w:b/>
          <w:lang w:val="en-GB" w:eastAsia="ro-RO"/>
        </w:rPr>
        <w:t xml:space="preserve">Analysis of the effects of financing on financial vulnerability of </w:t>
      </w:r>
      <w:r w:rsidRPr="00064D40">
        <w:rPr>
          <w:rStyle w:val="shorttext"/>
          <w:rFonts w:ascii="Times New Roman" w:hAnsi="Times New Roman"/>
          <w:b/>
          <w:lang w:val="en"/>
        </w:rPr>
        <w:t>Romanian companies</w:t>
      </w:r>
    </w:p>
    <w:p w:rsidR="00290CFF" w:rsidRPr="00B63E10" w:rsidRDefault="00290CFF" w:rsidP="00064D40">
      <w:pPr>
        <w:spacing w:after="0" w:line="240" w:lineRule="auto"/>
        <w:jc w:val="both"/>
        <w:rPr>
          <w:rFonts w:ascii="Times New Roman" w:hAnsi="Times New Roman"/>
          <w:sz w:val="20"/>
          <w:lang w:val="en-GB"/>
        </w:rPr>
      </w:pPr>
      <w:r w:rsidRPr="00B63E10">
        <w:rPr>
          <w:rFonts w:ascii="Times New Roman" w:hAnsi="Times New Roman"/>
          <w:sz w:val="20"/>
          <w:lang w:val="en-GB"/>
        </w:rPr>
        <w:t xml:space="preserve">Starting from the observation that </w:t>
      </w:r>
      <w:r w:rsidRPr="00B63E10">
        <w:rPr>
          <w:rFonts w:ascii="Times New Roman" w:hAnsi="Times New Roman"/>
          <w:i/>
          <w:sz w:val="20"/>
          <w:lang w:val="en-GB"/>
        </w:rPr>
        <w:t>in relatively quiet times, liquidity is less important than solvency</w:t>
      </w:r>
      <w:r w:rsidRPr="00B63E10">
        <w:rPr>
          <w:rFonts w:ascii="Times New Roman" w:hAnsi="Times New Roman"/>
          <w:sz w:val="20"/>
          <w:lang w:val="en-GB"/>
        </w:rPr>
        <w:t xml:space="preserve"> (because a solvent company will be able to secure funding to cover any liquidity problems) (</w:t>
      </w:r>
      <w:proofErr w:type="spellStart"/>
      <w:r w:rsidRPr="00B63E10">
        <w:rPr>
          <w:rFonts w:ascii="Times New Roman" w:hAnsi="Times New Roman"/>
          <w:sz w:val="20"/>
          <w:lang w:val="en-GB"/>
        </w:rPr>
        <w:t>Sen</w:t>
      </w:r>
      <w:proofErr w:type="spellEnd"/>
      <w:r w:rsidRPr="00B63E10">
        <w:rPr>
          <w:rFonts w:ascii="Times New Roman" w:hAnsi="Times New Roman"/>
          <w:sz w:val="20"/>
          <w:lang w:val="en-GB"/>
        </w:rPr>
        <w:t xml:space="preserve">, 2010) whereas </w:t>
      </w:r>
      <w:r w:rsidRPr="00B63E10">
        <w:rPr>
          <w:rFonts w:ascii="Times New Roman" w:hAnsi="Times New Roman"/>
          <w:i/>
          <w:sz w:val="20"/>
          <w:lang w:val="en-GB"/>
        </w:rPr>
        <w:t>in a crisis environment, liquidity may become more important</w:t>
      </w:r>
      <w:r w:rsidRPr="00B63E10">
        <w:rPr>
          <w:rFonts w:ascii="Times New Roman" w:hAnsi="Times New Roman"/>
          <w:sz w:val="20"/>
          <w:lang w:val="en-GB"/>
        </w:rPr>
        <w:t xml:space="preserve"> (Bernanke et al. 1988), we aim to analyse how the two indicators (liquidity and solvency) evolved over the period 2006-2011, using as benchmark the Romanian companies listed on Bucharest Stock Exchange.</w:t>
      </w:r>
    </w:p>
    <w:p w:rsidR="00290CFF" w:rsidRPr="00B63E10" w:rsidRDefault="00290CFF" w:rsidP="00064D40">
      <w:pPr>
        <w:spacing w:after="0" w:line="240" w:lineRule="auto"/>
        <w:jc w:val="both"/>
        <w:rPr>
          <w:rFonts w:ascii="Times New Roman" w:hAnsi="Times New Roman"/>
          <w:sz w:val="20"/>
          <w:lang w:val="en-GB"/>
        </w:rPr>
      </w:pPr>
      <w:r w:rsidRPr="00B63E10">
        <w:rPr>
          <w:rFonts w:ascii="Times New Roman" w:hAnsi="Times New Roman"/>
          <w:sz w:val="20"/>
          <w:lang w:val="en-GB"/>
        </w:rPr>
        <w:t>To highlight the element of originality that we aim to deliver, we should point out the following:</w:t>
      </w:r>
    </w:p>
    <w:p w:rsidR="00290CFF" w:rsidRPr="00B63E10" w:rsidRDefault="00290CFF" w:rsidP="00064D40">
      <w:pPr>
        <w:spacing w:after="0" w:line="240" w:lineRule="auto"/>
        <w:jc w:val="both"/>
        <w:rPr>
          <w:rFonts w:ascii="Times New Roman" w:hAnsi="Times New Roman"/>
          <w:sz w:val="20"/>
          <w:lang w:val="en-GB"/>
        </w:rPr>
      </w:pPr>
      <w:r w:rsidRPr="00B63E10">
        <w:rPr>
          <w:rFonts w:ascii="Times New Roman" w:hAnsi="Times New Roman"/>
          <w:sz w:val="20"/>
          <w:lang w:val="en-GB"/>
        </w:rPr>
        <w:t>a) We will consider both a firm-level and an aggregate-level analysis;</w:t>
      </w:r>
    </w:p>
    <w:p w:rsidR="00290CFF" w:rsidRPr="00B63E10" w:rsidRDefault="00290CFF" w:rsidP="00064D40">
      <w:pPr>
        <w:spacing w:after="0" w:line="240" w:lineRule="auto"/>
        <w:jc w:val="both"/>
        <w:rPr>
          <w:rFonts w:ascii="Times New Roman" w:hAnsi="Times New Roman"/>
          <w:sz w:val="20"/>
          <w:lang w:val="en-GB"/>
        </w:rPr>
      </w:pPr>
      <w:r w:rsidRPr="00B63E10">
        <w:rPr>
          <w:rFonts w:ascii="Times New Roman" w:hAnsi="Times New Roman"/>
          <w:sz w:val="20"/>
          <w:lang w:val="en-GB"/>
        </w:rPr>
        <w:t>b) For a representative sample of firms (non-financial firms listed on the Bucharest Stock Exchange) we will examine the current ratio in terms of the relation of current assets and short-term debt;</w:t>
      </w:r>
    </w:p>
    <w:p w:rsidR="00290CFF" w:rsidRPr="00B63E10" w:rsidRDefault="00290CFF" w:rsidP="00064D40">
      <w:pPr>
        <w:spacing w:after="0" w:line="240" w:lineRule="auto"/>
        <w:jc w:val="both"/>
        <w:rPr>
          <w:rFonts w:ascii="Times New Roman" w:hAnsi="Times New Roman"/>
          <w:sz w:val="20"/>
          <w:lang w:val="en-GB"/>
        </w:rPr>
      </w:pPr>
      <w:r w:rsidRPr="00B63E10">
        <w:rPr>
          <w:rFonts w:ascii="Times New Roman" w:hAnsi="Times New Roman"/>
          <w:sz w:val="20"/>
          <w:lang w:val="en-GB"/>
        </w:rPr>
        <w:t>c) As the analysis is performed retroactively (for the 2006-2011 period), we do not use estimated values ​​for the solvency ratio, but rather the actual recorded ratio; solvency will be measured based on the relationship between equity and total financial liabilities;</w:t>
      </w:r>
    </w:p>
    <w:p w:rsidR="00290CFF" w:rsidRPr="00B63E10" w:rsidRDefault="00290CFF" w:rsidP="00064D40">
      <w:pPr>
        <w:pStyle w:val="references"/>
        <w:numPr>
          <w:ilvl w:val="0"/>
          <w:numId w:val="0"/>
        </w:numPr>
        <w:spacing w:after="0" w:line="240" w:lineRule="auto"/>
        <w:rPr>
          <w:noProof w:val="0"/>
          <w:sz w:val="20"/>
          <w:szCs w:val="22"/>
          <w:lang w:val="en-GB"/>
        </w:rPr>
      </w:pPr>
      <w:r w:rsidRPr="00B63E10">
        <w:rPr>
          <w:noProof w:val="0"/>
          <w:sz w:val="20"/>
          <w:szCs w:val="22"/>
          <w:lang w:val="en-GB"/>
        </w:rPr>
        <w:t>d) In addition to the liquidity and solvency ratio, we will analyse the cash flow for the period to assess the financial behaviour of firms both during the pre-crisis period and during the crisis.</w:t>
      </w:r>
    </w:p>
    <w:p w:rsidR="00A34CA3" w:rsidRPr="00064D40" w:rsidRDefault="00A34CA3" w:rsidP="00064D40">
      <w:pPr>
        <w:spacing w:after="0" w:line="240" w:lineRule="auto"/>
        <w:jc w:val="both"/>
        <w:rPr>
          <w:rFonts w:ascii="Times New Roman" w:hAnsi="Times New Roman"/>
          <w:szCs w:val="24"/>
          <w:lang w:val="en-GB"/>
        </w:rPr>
      </w:pPr>
    </w:p>
    <w:p w:rsidR="00290CFF" w:rsidRPr="00064D40" w:rsidRDefault="00290CFF" w:rsidP="00064D40">
      <w:pPr>
        <w:spacing w:after="0" w:line="240" w:lineRule="auto"/>
        <w:ind w:firstLine="720"/>
        <w:jc w:val="both"/>
        <w:rPr>
          <w:rStyle w:val="shorttext"/>
          <w:rFonts w:ascii="Times New Roman" w:hAnsi="Times New Roman"/>
          <w:b/>
          <w:lang w:val="en"/>
        </w:rPr>
      </w:pPr>
      <w:r w:rsidRPr="00064D40">
        <w:rPr>
          <w:rStyle w:val="shorttext"/>
          <w:rFonts w:ascii="Times New Roman" w:hAnsi="Times New Roman"/>
          <w:b/>
          <w:lang w:val="en"/>
        </w:rPr>
        <w:t>Study results</w:t>
      </w:r>
    </w:p>
    <w:p w:rsidR="00290CFF" w:rsidRPr="00B63E10" w:rsidRDefault="00290CFF" w:rsidP="00064D40">
      <w:pPr>
        <w:spacing w:after="0" w:line="240" w:lineRule="auto"/>
        <w:jc w:val="both"/>
        <w:rPr>
          <w:rFonts w:ascii="Times New Roman" w:hAnsi="Times New Roman"/>
          <w:sz w:val="20"/>
          <w:lang w:val="en-GB"/>
        </w:rPr>
      </w:pPr>
      <w:r w:rsidRPr="00B63E10">
        <w:rPr>
          <w:rStyle w:val="shorttext"/>
          <w:rFonts w:ascii="Times New Roman" w:hAnsi="Times New Roman"/>
          <w:sz w:val="20"/>
          <w:lang w:val="en"/>
        </w:rPr>
        <w:t xml:space="preserve">By processing the data </w:t>
      </w:r>
      <w:r w:rsidRPr="00B63E10">
        <w:rPr>
          <w:rFonts w:ascii="Times New Roman" w:hAnsi="Times New Roman"/>
          <w:sz w:val="20"/>
          <w:lang w:val="en-GB"/>
        </w:rPr>
        <w:t>we obtained a set of results, summarised in Table 1 below. The table provides the mean values ​​of indicators, representative of the entire sample (values ​​were obtained by determining the simple arithmetic mean of the individual values ​</w:t>
      </w:r>
      <w:r w:rsidR="00064D40">
        <w:rPr>
          <w:rFonts w:ascii="Times New Roman" w:hAnsi="Times New Roman"/>
          <w:sz w:val="20"/>
          <w:lang w:val="en-GB"/>
        </w:rPr>
        <w:t>​of the 90 firms in the sample).</w:t>
      </w:r>
    </w:p>
    <w:p w:rsidR="00B63E10" w:rsidRDefault="00B63E10" w:rsidP="00290CFF">
      <w:pPr>
        <w:spacing w:after="0" w:line="240" w:lineRule="auto"/>
        <w:ind w:firstLine="720"/>
        <w:jc w:val="both"/>
        <w:rPr>
          <w:rFonts w:ascii="Times New Roman" w:hAnsi="Times New Roman"/>
          <w:sz w:val="20"/>
          <w:lang w:val="en-GB"/>
        </w:rPr>
      </w:pPr>
    </w:p>
    <w:p w:rsidR="006B3721" w:rsidRPr="00B63E10" w:rsidRDefault="006B3721" w:rsidP="00290CFF">
      <w:pPr>
        <w:spacing w:after="0" w:line="240" w:lineRule="auto"/>
        <w:ind w:firstLine="720"/>
        <w:jc w:val="both"/>
        <w:rPr>
          <w:rFonts w:ascii="Times New Roman" w:hAnsi="Times New Roman"/>
          <w:sz w:val="20"/>
          <w:lang w:val="en-GB"/>
        </w:rPr>
      </w:pPr>
    </w:p>
    <w:p w:rsidR="00290CFF" w:rsidRDefault="00290CFF" w:rsidP="00716942">
      <w:pPr>
        <w:spacing w:after="0" w:line="240" w:lineRule="auto"/>
        <w:ind w:firstLine="709"/>
        <w:jc w:val="both"/>
        <w:rPr>
          <w:rFonts w:ascii="Times New Roman" w:hAnsi="Times New Roman"/>
          <w:b/>
          <w:sz w:val="20"/>
          <w:szCs w:val="20"/>
          <w:lang w:val="en-GB"/>
        </w:rPr>
      </w:pPr>
      <w:r w:rsidRPr="00716942">
        <w:rPr>
          <w:rFonts w:ascii="Times New Roman" w:hAnsi="Times New Roman"/>
          <w:b/>
          <w:sz w:val="20"/>
          <w:szCs w:val="20"/>
          <w:lang w:val="en-GB"/>
        </w:rPr>
        <w:lastRenderedPageBreak/>
        <w:t>Table 1 Evolution of indicators in the period 2006-2011</w:t>
      </w:r>
    </w:p>
    <w:p w:rsidR="006B4200" w:rsidRPr="006B4200" w:rsidRDefault="006B4200" w:rsidP="00716942">
      <w:pPr>
        <w:spacing w:after="0" w:line="240" w:lineRule="auto"/>
        <w:ind w:firstLine="709"/>
        <w:jc w:val="both"/>
        <w:rPr>
          <w:rFonts w:ascii="Times New Roman" w:hAnsi="Times New Roman"/>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0"/>
        <w:gridCol w:w="1233"/>
        <w:gridCol w:w="792"/>
        <w:gridCol w:w="731"/>
        <w:gridCol w:w="731"/>
        <w:gridCol w:w="731"/>
        <w:gridCol w:w="731"/>
        <w:gridCol w:w="731"/>
        <w:gridCol w:w="781"/>
      </w:tblGrid>
      <w:tr w:rsidR="00290CFF" w:rsidRPr="00716942" w:rsidTr="00290CFF">
        <w:trPr>
          <w:trHeight w:val="256"/>
        </w:trPr>
        <w:tc>
          <w:tcPr>
            <w:tcW w:w="142"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hAnsi="Times New Roman"/>
                <w:color w:val="FF0000"/>
                <w:sz w:val="20"/>
                <w:szCs w:val="20"/>
              </w:rPr>
              <w:t xml:space="preserve"> </w:t>
            </w:r>
          </w:p>
        </w:tc>
        <w:tc>
          <w:tcPr>
            <w:tcW w:w="1141"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 xml:space="preserve">Indicators </w:t>
            </w:r>
          </w:p>
        </w:tc>
        <w:tc>
          <w:tcPr>
            <w:tcW w:w="563" w:type="pct"/>
            <w:shd w:val="clear" w:color="auto" w:fill="auto"/>
          </w:tcPr>
          <w:p w:rsidR="00290CFF" w:rsidRPr="00716942" w:rsidRDefault="00290CFF" w:rsidP="00716942">
            <w:pPr>
              <w:spacing w:after="0" w:line="240" w:lineRule="auto"/>
              <w:jc w:val="right"/>
              <w:rPr>
                <w:rFonts w:ascii="Times New Roman" w:eastAsia="Calibri" w:hAnsi="Times New Roman"/>
                <w:b/>
                <w:sz w:val="20"/>
                <w:szCs w:val="20"/>
                <w:lang w:val="en-GB"/>
              </w:rPr>
            </w:pPr>
            <w:r w:rsidRPr="00716942">
              <w:rPr>
                <w:rFonts w:ascii="Times New Roman" w:eastAsia="Calibri" w:hAnsi="Times New Roman"/>
                <w:b/>
                <w:sz w:val="20"/>
                <w:szCs w:val="20"/>
                <w:lang w:val="en-GB"/>
              </w:rPr>
              <w:t>2006</w:t>
            </w:r>
          </w:p>
        </w:tc>
        <w:tc>
          <w:tcPr>
            <w:tcW w:w="520"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2007</w:t>
            </w:r>
          </w:p>
        </w:tc>
        <w:tc>
          <w:tcPr>
            <w:tcW w:w="520"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2008</w:t>
            </w:r>
          </w:p>
        </w:tc>
        <w:tc>
          <w:tcPr>
            <w:tcW w:w="520"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2009</w:t>
            </w:r>
          </w:p>
        </w:tc>
        <w:tc>
          <w:tcPr>
            <w:tcW w:w="520"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2010</w:t>
            </w:r>
          </w:p>
        </w:tc>
        <w:tc>
          <w:tcPr>
            <w:tcW w:w="520" w:type="pc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2011</w:t>
            </w:r>
          </w:p>
        </w:tc>
        <w:tc>
          <w:tcPr>
            <w:tcW w:w="555" w:type="pct"/>
          </w:tcPr>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 xml:space="preserve">Period average </w:t>
            </w:r>
          </w:p>
        </w:tc>
      </w:tr>
      <w:tr w:rsidR="00290CFF" w:rsidRPr="00716942" w:rsidTr="00290CFF">
        <w:trPr>
          <w:trHeight w:val="256"/>
        </w:trPr>
        <w:tc>
          <w:tcPr>
            <w:tcW w:w="142" w:type="pct"/>
            <w:vMerge w:val="restart"/>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p>
          <w:p w:rsidR="00716942" w:rsidRPr="00716942" w:rsidRDefault="00716942" w:rsidP="00716942">
            <w:pPr>
              <w:spacing w:after="0" w:line="240" w:lineRule="auto"/>
              <w:jc w:val="center"/>
              <w:rPr>
                <w:rFonts w:ascii="Times New Roman" w:eastAsia="Calibri" w:hAnsi="Times New Roman"/>
                <w:b/>
                <w:sz w:val="20"/>
                <w:szCs w:val="20"/>
                <w:lang w:val="en-GB"/>
              </w:rPr>
            </w:pPr>
          </w:p>
          <w:p w:rsidR="00290CFF" w:rsidRPr="00716942" w:rsidRDefault="00290CFF" w:rsidP="00716942">
            <w:pPr>
              <w:spacing w:after="0" w:line="240" w:lineRule="auto"/>
              <w:jc w:val="center"/>
              <w:rPr>
                <w:rFonts w:ascii="Times New Roman" w:eastAsia="Calibri" w:hAnsi="Times New Roman"/>
                <w:b/>
                <w:sz w:val="20"/>
                <w:szCs w:val="20"/>
                <w:lang w:val="en-GB"/>
              </w:rPr>
            </w:pPr>
            <w:r w:rsidRPr="00716942">
              <w:rPr>
                <w:rFonts w:ascii="Times New Roman" w:eastAsia="Calibri" w:hAnsi="Times New Roman"/>
                <w:b/>
                <w:sz w:val="20"/>
                <w:szCs w:val="20"/>
                <w:lang w:val="en-GB"/>
              </w:rPr>
              <w:t>90 firms</w:t>
            </w:r>
          </w:p>
        </w:tc>
        <w:tc>
          <w:tcPr>
            <w:tcW w:w="1141" w:type="pct"/>
            <w:shd w:val="clear" w:color="auto" w:fill="auto"/>
          </w:tcPr>
          <w:p w:rsidR="00290CFF" w:rsidRPr="00716942" w:rsidRDefault="00290CFF" w:rsidP="00716942">
            <w:pPr>
              <w:spacing w:after="0" w:line="240" w:lineRule="auto"/>
              <w:jc w:val="both"/>
              <w:rPr>
                <w:rFonts w:ascii="Times New Roman" w:eastAsia="Calibri" w:hAnsi="Times New Roman"/>
                <w:sz w:val="20"/>
                <w:szCs w:val="20"/>
                <w:lang w:val="en-GB"/>
              </w:rPr>
            </w:pPr>
            <w:r w:rsidRPr="00716942">
              <w:rPr>
                <w:rFonts w:ascii="Times New Roman" w:eastAsia="Calibri" w:hAnsi="Times New Roman"/>
                <w:sz w:val="20"/>
                <w:szCs w:val="20"/>
                <w:lang w:val="en-GB"/>
              </w:rPr>
              <w:t xml:space="preserve">Current ratio </w:t>
            </w:r>
          </w:p>
        </w:tc>
        <w:tc>
          <w:tcPr>
            <w:tcW w:w="563"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1.88</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2.01</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2.41</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2.53</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2.63</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2.49</w:t>
            </w:r>
          </w:p>
        </w:tc>
        <w:tc>
          <w:tcPr>
            <w:tcW w:w="555" w:type="pct"/>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2,32</w:t>
            </w:r>
          </w:p>
        </w:tc>
      </w:tr>
      <w:tr w:rsidR="00290CFF" w:rsidRPr="00716942" w:rsidTr="00290CFF">
        <w:trPr>
          <w:trHeight w:val="256"/>
        </w:trPr>
        <w:tc>
          <w:tcPr>
            <w:tcW w:w="142" w:type="pct"/>
            <w:vMerge/>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p>
        </w:tc>
        <w:tc>
          <w:tcPr>
            <w:tcW w:w="1141" w:type="pct"/>
            <w:shd w:val="clear" w:color="auto" w:fill="auto"/>
          </w:tcPr>
          <w:p w:rsidR="00290CFF" w:rsidRPr="00716942" w:rsidRDefault="00290CFF" w:rsidP="00716942">
            <w:pPr>
              <w:spacing w:after="0" w:line="240" w:lineRule="auto"/>
              <w:jc w:val="both"/>
              <w:rPr>
                <w:rFonts w:ascii="Times New Roman" w:eastAsia="Calibri" w:hAnsi="Times New Roman"/>
                <w:sz w:val="20"/>
                <w:szCs w:val="20"/>
                <w:lang w:val="en-GB"/>
              </w:rPr>
            </w:pPr>
            <w:r w:rsidRPr="00716942">
              <w:rPr>
                <w:rFonts w:ascii="Times New Roman" w:eastAsia="Calibri" w:hAnsi="Times New Roman"/>
                <w:sz w:val="20"/>
                <w:szCs w:val="20"/>
                <w:lang w:val="en-GB"/>
              </w:rPr>
              <w:t xml:space="preserve">Solvency </w:t>
            </w:r>
          </w:p>
        </w:tc>
        <w:tc>
          <w:tcPr>
            <w:tcW w:w="563"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9.49</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9.09</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14.7</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15.02</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13.71</w:t>
            </w:r>
          </w:p>
        </w:tc>
        <w:tc>
          <w:tcPr>
            <w:tcW w:w="520" w:type="pct"/>
            <w:shd w:val="clear" w:color="auto" w:fill="auto"/>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14.28</w:t>
            </w:r>
          </w:p>
        </w:tc>
        <w:tc>
          <w:tcPr>
            <w:tcW w:w="555" w:type="pct"/>
          </w:tcPr>
          <w:p w:rsidR="00290CFF" w:rsidRPr="00716942" w:rsidRDefault="00290CFF" w:rsidP="00716942">
            <w:pPr>
              <w:spacing w:after="0" w:line="240" w:lineRule="auto"/>
              <w:jc w:val="right"/>
              <w:rPr>
                <w:rFonts w:ascii="Times New Roman" w:eastAsia="Calibri" w:hAnsi="Times New Roman"/>
                <w:sz w:val="20"/>
                <w:szCs w:val="20"/>
                <w:lang w:val="en-GB"/>
              </w:rPr>
            </w:pPr>
            <w:r w:rsidRPr="00716942">
              <w:rPr>
                <w:rFonts w:ascii="Times New Roman" w:eastAsia="Calibri" w:hAnsi="Times New Roman"/>
                <w:sz w:val="20"/>
                <w:szCs w:val="20"/>
                <w:lang w:val="en-GB"/>
              </w:rPr>
              <w:t>12,71</w:t>
            </w:r>
          </w:p>
        </w:tc>
      </w:tr>
      <w:tr w:rsidR="00290CFF" w:rsidRPr="00716942" w:rsidTr="00716942">
        <w:trPr>
          <w:trHeight w:val="569"/>
        </w:trPr>
        <w:tc>
          <w:tcPr>
            <w:tcW w:w="142" w:type="pct"/>
            <w:vMerge/>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p>
        </w:tc>
        <w:tc>
          <w:tcPr>
            <w:tcW w:w="1141" w:type="pct"/>
            <w:vMerge w:val="restart"/>
            <w:shd w:val="clear" w:color="auto" w:fill="auto"/>
          </w:tcPr>
          <w:p w:rsidR="00290CFF" w:rsidRPr="00716942" w:rsidRDefault="00290CFF" w:rsidP="00716942">
            <w:pPr>
              <w:spacing w:after="0" w:line="240" w:lineRule="auto"/>
              <w:jc w:val="both"/>
              <w:rPr>
                <w:rFonts w:ascii="Times New Roman" w:eastAsia="Calibri" w:hAnsi="Times New Roman"/>
                <w:sz w:val="20"/>
                <w:szCs w:val="20"/>
                <w:lang w:val="en-GB"/>
              </w:rPr>
            </w:pPr>
            <w:r w:rsidRPr="00716942">
              <w:rPr>
                <w:rFonts w:ascii="Times New Roman" w:eastAsia="Calibri" w:hAnsi="Times New Roman"/>
                <w:sz w:val="20"/>
                <w:szCs w:val="20"/>
                <w:lang w:val="en-GB"/>
              </w:rPr>
              <w:t>Net cash flow change[</w:t>
            </w:r>
            <w:r w:rsidRPr="00716942">
              <w:rPr>
                <w:rFonts w:ascii="Times New Roman" w:hAnsi="Times New Roman"/>
                <w:sz w:val="20"/>
                <w:szCs w:val="20"/>
                <w:lang w:val="en-GB"/>
              </w:rPr>
              <w:t>ΔTN]</w:t>
            </w:r>
          </w:p>
          <w:p w:rsidR="00290CFF" w:rsidRPr="00716942" w:rsidRDefault="00290CFF" w:rsidP="00716942">
            <w:pPr>
              <w:spacing w:after="0" w:line="240" w:lineRule="auto"/>
              <w:jc w:val="both"/>
              <w:rPr>
                <w:rFonts w:ascii="Times New Roman" w:eastAsia="Calibri" w:hAnsi="Times New Roman"/>
                <w:sz w:val="20"/>
                <w:szCs w:val="20"/>
                <w:lang w:val="en-GB"/>
              </w:rPr>
            </w:pPr>
            <w:r w:rsidRPr="00716942">
              <w:rPr>
                <w:rFonts w:ascii="Times New Roman" w:eastAsia="Calibri" w:hAnsi="Times New Roman"/>
                <w:sz w:val="20"/>
                <w:szCs w:val="20"/>
                <w:lang w:val="en-GB"/>
              </w:rPr>
              <w:t xml:space="preserve">(% of firms with + or – change) </w:t>
            </w:r>
          </w:p>
        </w:tc>
        <w:tc>
          <w:tcPr>
            <w:tcW w:w="563"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positive</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53.33%</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51.11%</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42.22%</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56.67%</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55.56%</w:t>
            </w:r>
          </w:p>
        </w:tc>
        <w:tc>
          <w:tcPr>
            <w:tcW w:w="555" w:type="pct"/>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51,78%</w:t>
            </w:r>
          </w:p>
        </w:tc>
      </w:tr>
      <w:tr w:rsidR="00290CFF" w:rsidRPr="00716942" w:rsidTr="00716942">
        <w:trPr>
          <w:trHeight w:val="256"/>
        </w:trPr>
        <w:tc>
          <w:tcPr>
            <w:tcW w:w="142" w:type="pct"/>
            <w:vMerge/>
            <w:shd w:val="clear" w:color="auto" w:fill="auto"/>
          </w:tcPr>
          <w:p w:rsidR="00290CFF" w:rsidRPr="00716942" w:rsidRDefault="00290CFF" w:rsidP="00716942">
            <w:pPr>
              <w:spacing w:after="0" w:line="240" w:lineRule="auto"/>
              <w:jc w:val="center"/>
              <w:rPr>
                <w:rFonts w:ascii="Times New Roman" w:eastAsia="Calibri" w:hAnsi="Times New Roman"/>
                <w:b/>
                <w:sz w:val="20"/>
                <w:szCs w:val="20"/>
                <w:lang w:val="en-GB"/>
              </w:rPr>
            </w:pPr>
          </w:p>
        </w:tc>
        <w:tc>
          <w:tcPr>
            <w:tcW w:w="1141" w:type="pct"/>
            <w:vMerge/>
            <w:shd w:val="clear" w:color="auto" w:fill="auto"/>
          </w:tcPr>
          <w:p w:rsidR="00290CFF" w:rsidRPr="00716942" w:rsidRDefault="00290CFF" w:rsidP="00716942">
            <w:pPr>
              <w:spacing w:after="0" w:line="240" w:lineRule="auto"/>
              <w:rPr>
                <w:rFonts w:ascii="Times New Roman" w:eastAsia="Calibri" w:hAnsi="Times New Roman"/>
                <w:sz w:val="20"/>
                <w:szCs w:val="20"/>
                <w:lang w:val="en-GB"/>
              </w:rPr>
            </w:pPr>
          </w:p>
        </w:tc>
        <w:tc>
          <w:tcPr>
            <w:tcW w:w="563"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negative</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46.67%</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48.89%</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57.78%</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43.33%</w:t>
            </w:r>
          </w:p>
        </w:tc>
        <w:tc>
          <w:tcPr>
            <w:tcW w:w="520" w:type="pct"/>
            <w:shd w:val="clear" w:color="auto" w:fill="auto"/>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44.44%</w:t>
            </w:r>
          </w:p>
        </w:tc>
        <w:tc>
          <w:tcPr>
            <w:tcW w:w="555" w:type="pct"/>
            <w:vAlign w:val="center"/>
          </w:tcPr>
          <w:p w:rsidR="00290CFF" w:rsidRPr="00716942" w:rsidRDefault="00290CFF" w:rsidP="00716942">
            <w:pPr>
              <w:spacing w:after="0" w:line="240" w:lineRule="auto"/>
              <w:jc w:val="center"/>
              <w:rPr>
                <w:rFonts w:ascii="Times New Roman" w:eastAsia="Calibri" w:hAnsi="Times New Roman"/>
                <w:sz w:val="20"/>
                <w:szCs w:val="20"/>
                <w:lang w:val="en-GB"/>
              </w:rPr>
            </w:pPr>
            <w:r w:rsidRPr="00716942">
              <w:rPr>
                <w:rFonts w:ascii="Times New Roman" w:eastAsia="Calibri" w:hAnsi="Times New Roman"/>
                <w:sz w:val="20"/>
                <w:szCs w:val="20"/>
                <w:lang w:val="en-GB"/>
              </w:rPr>
              <w:t>48,22%</w:t>
            </w:r>
          </w:p>
        </w:tc>
      </w:tr>
    </w:tbl>
    <w:p w:rsidR="00290CFF" w:rsidRDefault="00290CFF" w:rsidP="00716942">
      <w:pPr>
        <w:spacing w:after="0" w:line="240" w:lineRule="auto"/>
        <w:ind w:firstLine="720"/>
        <w:jc w:val="both"/>
        <w:rPr>
          <w:rFonts w:ascii="Times New Roman" w:hAnsi="Times New Roman"/>
          <w:szCs w:val="20"/>
          <w:lang w:val="en-GB"/>
        </w:rPr>
      </w:pPr>
    </w:p>
    <w:p w:rsidR="006B4200" w:rsidRPr="006B4200" w:rsidRDefault="006B4200" w:rsidP="00716942">
      <w:pPr>
        <w:spacing w:after="0" w:line="240" w:lineRule="auto"/>
        <w:ind w:firstLine="720"/>
        <w:jc w:val="both"/>
        <w:rPr>
          <w:rFonts w:ascii="Times New Roman" w:hAnsi="Times New Roman"/>
          <w:szCs w:val="20"/>
          <w:lang w:val="en-GB"/>
        </w:rPr>
      </w:pPr>
    </w:p>
    <w:p w:rsidR="00716942" w:rsidRPr="00716942" w:rsidRDefault="00716942" w:rsidP="00716942">
      <w:pPr>
        <w:spacing w:after="0" w:line="240" w:lineRule="auto"/>
        <w:ind w:right="28"/>
        <w:jc w:val="center"/>
        <w:rPr>
          <w:rFonts w:ascii="Times New Roman" w:hAnsi="Times New Roman"/>
          <w:color w:val="000000"/>
          <w:sz w:val="20"/>
          <w:szCs w:val="20"/>
          <w:lang w:val="ro-RO" w:eastAsia="ro-RO"/>
        </w:rPr>
      </w:pPr>
      <w:r w:rsidRPr="00716942">
        <w:rPr>
          <w:rFonts w:ascii="Times New Roman" w:hAnsi="Times New Roman"/>
          <w:noProof/>
          <w:sz w:val="20"/>
          <w:szCs w:val="20"/>
          <w:lang w:val="ro-RO" w:eastAsia="ro-RO"/>
        </w:rPr>
        <w:drawing>
          <wp:inline distT="0" distB="0" distL="0" distR="0" wp14:anchorId="7C1D9BE2" wp14:editId="16F21913">
            <wp:extent cx="4476750" cy="19335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0C55" w:rsidRDefault="00590C55" w:rsidP="00716942">
      <w:pPr>
        <w:spacing w:after="0" w:line="240" w:lineRule="auto"/>
        <w:ind w:right="28"/>
        <w:jc w:val="center"/>
        <w:rPr>
          <w:rFonts w:ascii="Times New Roman" w:hAnsi="Times New Roman"/>
          <w:color w:val="000000" w:themeColor="text1"/>
          <w:szCs w:val="20"/>
          <w:lang w:val="en"/>
        </w:rPr>
      </w:pPr>
    </w:p>
    <w:p w:rsidR="00716942" w:rsidRPr="006B4200" w:rsidRDefault="006B4200" w:rsidP="00716942">
      <w:pPr>
        <w:spacing w:after="0" w:line="240" w:lineRule="auto"/>
        <w:ind w:right="28"/>
        <w:jc w:val="center"/>
        <w:rPr>
          <w:rFonts w:ascii="Times New Roman" w:hAnsi="Times New Roman"/>
          <w:b/>
          <w:color w:val="000000" w:themeColor="text1"/>
          <w:sz w:val="20"/>
          <w:szCs w:val="20"/>
          <w:lang w:val="ro-RO"/>
        </w:rPr>
      </w:pPr>
      <w:r>
        <w:rPr>
          <w:rFonts w:ascii="Times New Roman" w:hAnsi="Times New Roman"/>
          <w:b/>
          <w:color w:val="000000" w:themeColor="text1"/>
          <w:sz w:val="20"/>
          <w:szCs w:val="20"/>
          <w:lang w:val="en"/>
        </w:rPr>
        <w:t>Figure 1</w:t>
      </w:r>
      <w:r w:rsidR="00716942" w:rsidRPr="006B4200">
        <w:rPr>
          <w:rFonts w:ascii="Times New Roman" w:hAnsi="Times New Roman"/>
          <w:b/>
          <w:color w:val="000000" w:themeColor="text1"/>
          <w:sz w:val="20"/>
          <w:szCs w:val="20"/>
          <w:lang w:val="en"/>
        </w:rPr>
        <w:t xml:space="preserve"> Evolution of liquidity and solvency in 2006-2011</w:t>
      </w:r>
    </w:p>
    <w:p w:rsidR="00716942" w:rsidRPr="006B4200" w:rsidRDefault="00716942" w:rsidP="00716942">
      <w:pPr>
        <w:spacing w:after="0" w:line="240" w:lineRule="auto"/>
        <w:ind w:firstLine="720"/>
        <w:jc w:val="both"/>
        <w:rPr>
          <w:rFonts w:ascii="Times New Roman" w:hAnsi="Times New Roman"/>
          <w:szCs w:val="20"/>
          <w:lang w:val="en-GB"/>
        </w:rPr>
      </w:pP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By processing globally the data in the sample, we observed that the average current ratio, representative for the whole period, is 2.35</w:t>
      </w:r>
      <w:r w:rsidRPr="00716942">
        <w:rPr>
          <w:rFonts w:ascii="Times New Roman" w:hAnsi="Times New Roman"/>
          <w:color w:val="00B0F0"/>
          <w:sz w:val="20"/>
          <w:lang w:val="en-GB"/>
        </w:rPr>
        <w:t>.</w:t>
      </w:r>
      <w:r w:rsidRPr="00290CFF">
        <w:rPr>
          <w:rFonts w:ascii="Times New Roman" w:hAnsi="Times New Roman"/>
          <w:sz w:val="20"/>
          <w:lang w:val="en-GB"/>
        </w:rPr>
        <w:t xml:space="preserve"> The fact that the indicator stayed around the maximum permitted value reflects a somewhat prudent current asset management policy.</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The mean solvency rate over the entire period we looked at is 12.69. In terms of annual averages, one can notice an upward trend (from 9.49 and 9.06 respectively early in the period to 14.28 in the last year of the review). Indicator values reflect a good, rising level of solvency. This may be explained by the decreased share of debt financing (especially medium and long-term financing).</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As regards changes in net cash flow (calculated in relation to values ​​recorded at the beginning and end of each year), we noticed that, in the first part of the period under review, the share of companies that recorded a negative change in net cash flow increased (from 46.66% to 48.88% and 57.77%; in the second half of the period, the share of firms with negative net cash flow decreased to 44.44%).</w:t>
      </w:r>
    </w:p>
    <w:p w:rsidR="009707B0" w:rsidRDefault="009707B0" w:rsidP="009707B0">
      <w:pPr>
        <w:spacing w:after="0" w:line="240" w:lineRule="auto"/>
        <w:ind w:firstLine="709"/>
        <w:jc w:val="both"/>
        <w:rPr>
          <w:rFonts w:ascii="Times New Roman" w:hAnsi="Times New Roman"/>
          <w:b/>
          <w:lang w:val="en-GB"/>
        </w:rPr>
      </w:pPr>
    </w:p>
    <w:p w:rsidR="009707B0" w:rsidRPr="009707B0" w:rsidRDefault="009707B0" w:rsidP="009707B0">
      <w:pPr>
        <w:spacing w:after="0" w:line="240" w:lineRule="auto"/>
        <w:ind w:firstLine="709"/>
        <w:jc w:val="both"/>
        <w:rPr>
          <w:rFonts w:ascii="Times New Roman" w:hAnsi="Times New Roman"/>
          <w:b/>
          <w:lang w:val="en-GB"/>
        </w:rPr>
      </w:pPr>
      <w:r w:rsidRPr="009707B0">
        <w:rPr>
          <w:rFonts w:ascii="Times New Roman" w:hAnsi="Times New Roman"/>
          <w:b/>
          <w:lang w:val="en-GB"/>
        </w:rPr>
        <w:t>Interpretation of results</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As far as liquidity is concerned, evolutions cannot be viewed as positive because:</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w:t>
      </w:r>
      <w:proofErr w:type="gramStart"/>
      <w:r w:rsidRPr="00290CFF">
        <w:rPr>
          <w:rFonts w:ascii="Times New Roman" w:hAnsi="Times New Roman"/>
          <w:sz w:val="20"/>
          <w:lang w:val="en-GB"/>
        </w:rPr>
        <w:t>the</w:t>
      </w:r>
      <w:proofErr w:type="gramEnd"/>
      <w:r w:rsidRPr="00290CFF">
        <w:rPr>
          <w:rFonts w:ascii="Times New Roman" w:hAnsi="Times New Roman"/>
          <w:sz w:val="20"/>
          <w:lang w:val="en-GB"/>
        </w:rPr>
        <w:t xml:space="preserve"> number of companies falling within the optimal range  decreased (</w:t>
      </w:r>
      <w:r w:rsidRPr="00290CFF">
        <w:rPr>
          <w:rFonts w:ascii="Times New Roman" w:hAnsi="Times New Roman"/>
          <w:sz w:val="20"/>
          <w:lang w:val="ro-RO"/>
        </w:rPr>
        <w:t>minimum 1, maximum 2)</w:t>
      </w:r>
      <w:r w:rsidRPr="00290CFF">
        <w:rPr>
          <w:rFonts w:ascii="Times New Roman" w:hAnsi="Times New Roman"/>
          <w:sz w:val="20"/>
          <w:lang w:val="en-GB"/>
        </w:rPr>
        <w:t>;</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w:t>
      </w:r>
      <w:proofErr w:type="gramStart"/>
      <w:r w:rsidRPr="00290CFF">
        <w:rPr>
          <w:rFonts w:ascii="Times New Roman" w:hAnsi="Times New Roman"/>
          <w:sz w:val="20"/>
          <w:lang w:val="en-GB"/>
        </w:rPr>
        <w:t>the</w:t>
      </w:r>
      <w:proofErr w:type="gramEnd"/>
      <w:r w:rsidRPr="00290CFF">
        <w:rPr>
          <w:rFonts w:ascii="Times New Roman" w:hAnsi="Times New Roman"/>
          <w:sz w:val="20"/>
          <w:lang w:val="en-GB"/>
        </w:rPr>
        <w:t xml:space="preserve"> number of firms that do not use assets efficiently increased;</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w:t>
      </w:r>
      <w:proofErr w:type="gramStart"/>
      <w:r w:rsidRPr="00290CFF">
        <w:rPr>
          <w:rFonts w:ascii="Times New Roman" w:hAnsi="Times New Roman"/>
          <w:sz w:val="20"/>
          <w:lang w:val="en-GB"/>
        </w:rPr>
        <w:t>there</w:t>
      </w:r>
      <w:proofErr w:type="gramEnd"/>
      <w:r w:rsidRPr="00290CFF">
        <w:rPr>
          <w:rFonts w:ascii="Times New Roman" w:hAnsi="Times New Roman"/>
          <w:sz w:val="20"/>
          <w:lang w:val="en-GB"/>
        </w:rPr>
        <w:t xml:space="preserve"> was an insignificant reduction in the number firms at risk of default.</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The evolution of solvency itself was not favourable either: there was a doubling of the number of companies recording solvency ratios less than one unit, translating into less </w:t>
      </w:r>
      <w:r w:rsidRPr="00290CFF">
        <w:rPr>
          <w:rFonts w:ascii="Times New Roman" w:hAnsi="Times New Roman"/>
          <w:sz w:val="20"/>
          <w:lang w:val="en-GB"/>
        </w:rPr>
        <w:lastRenderedPageBreak/>
        <w:t>equity to financial liabilities and consequently into an impairment of working capital and net cash flow, respectively. The number of firms in the other benchmark intervals varied only slightly.</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The analysis focusing on net cash flow change reveals an increase in the share of firms recording negative variation (for the first three years of the period examined), followed by a reduction (in the second part of the period).</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In light of these considerations, the period under review is defined by:</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w:t>
      </w:r>
      <w:proofErr w:type="gramStart"/>
      <w:r w:rsidRPr="00290CFF">
        <w:rPr>
          <w:rFonts w:ascii="Times New Roman" w:hAnsi="Times New Roman"/>
          <w:sz w:val="20"/>
          <w:lang w:val="en-GB"/>
        </w:rPr>
        <w:t>a</w:t>
      </w:r>
      <w:proofErr w:type="gramEnd"/>
      <w:r w:rsidRPr="00290CFF">
        <w:rPr>
          <w:rFonts w:ascii="Times New Roman" w:hAnsi="Times New Roman"/>
          <w:sz w:val="20"/>
          <w:lang w:val="en-GB"/>
        </w:rPr>
        <w:t xml:space="preserve"> decline of the examined indicators in the 2006-2009 interval;</w:t>
      </w:r>
    </w:p>
    <w:p w:rsidR="00290CFF" w:rsidRPr="00290CFF" w:rsidRDefault="00290CFF" w:rsidP="006B4200">
      <w:pPr>
        <w:spacing w:after="0" w:line="240" w:lineRule="auto"/>
        <w:jc w:val="both"/>
        <w:rPr>
          <w:rFonts w:ascii="Times New Roman" w:hAnsi="Times New Roman"/>
          <w:sz w:val="20"/>
          <w:lang w:val="en-GB"/>
        </w:rPr>
      </w:pPr>
      <w:r w:rsidRPr="00290CFF">
        <w:rPr>
          <w:rFonts w:ascii="Times New Roman" w:hAnsi="Times New Roman"/>
          <w:sz w:val="20"/>
          <w:lang w:val="en-GB"/>
        </w:rPr>
        <w:t xml:space="preserve">- </w:t>
      </w:r>
      <w:proofErr w:type="gramStart"/>
      <w:r w:rsidRPr="00290CFF">
        <w:rPr>
          <w:rFonts w:ascii="Times New Roman" w:hAnsi="Times New Roman"/>
          <w:sz w:val="20"/>
          <w:lang w:val="en-GB"/>
        </w:rPr>
        <w:t>an</w:t>
      </w:r>
      <w:proofErr w:type="gramEnd"/>
      <w:r w:rsidRPr="00290CFF">
        <w:rPr>
          <w:rFonts w:ascii="Times New Roman" w:hAnsi="Times New Roman"/>
          <w:sz w:val="20"/>
          <w:lang w:val="en-GB"/>
        </w:rPr>
        <w:t xml:space="preserve"> improvement of indicators in the 2010-2011 period.</w:t>
      </w:r>
    </w:p>
    <w:p w:rsidR="007B6FA2" w:rsidRPr="00716942" w:rsidRDefault="007B6FA2" w:rsidP="006B4200">
      <w:pPr>
        <w:spacing w:after="0" w:line="240" w:lineRule="auto"/>
        <w:jc w:val="both"/>
        <w:rPr>
          <w:rFonts w:ascii="Times New Roman" w:hAnsi="Times New Roman"/>
          <w:b/>
          <w:sz w:val="20"/>
          <w:szCs w:val="20"/>
          <w:lang w:val="en-GB"/>
        </w:rPr>
      </w:pPr>
    </w:p>
    <w:p w:rsidR="00716942" w:rsidRPr="00716942" w:rsidRDefault="00716942" w:rsidP="006B4200">
      <w:pPr>
        <w:pStyle w:val="ListParagraph"/>
        <w:spacing w:after="0" w:line="240" w:lineRule="auto"/>
        <w:ind w:left="0"/>
        <w:contextualSpacing/>
        <w:jc w:val="both"/>
        <w:rPr>
          <w:rFonts w:ascii="Times New Roman" w:hAnsi="Times New Roman"/>
          <w:b/>
          <w:sz w:val="20"/>
          <w:szCs w:val="20"/>
          <w:lang w:val="en-GB" w:eastAsia="ar-SA"/>
        </w:rPr>
      </w:pPr>
      <w:r w:rsidRPr="00716942">
        <w:rPr>
          <w:rFonts w:ascii="Times New Roman" w:hAnsi="Times New Roman"/>
          <w:b/>
          <w:sz w:val="20"/>
          <w:szCs w:val="20"/>
          <w:lang w:val="en-GB" w:eastAsia="ar-SA"/>
        </w:rPr>
        <w:t>CONCLUSIONS</w:t>
      </w:r>
    </w:p>
    <w:p w:rsidR="00716942" w:rsidRPr="00716942" w:rsidRDefault="00716942" w:rsidP="006B4200">
      <w:pPr>
        <w:spacing w:after="0" w:line="240" w:lineRule="auto"/>
        <w:jc w:val="both"/>
        <w:rPr>
          <w:rFonts w:ascii="Times New Roman" w:hAnsi="Times New Roman"/>
          <w:sz w:val="20"/>
          <w:szCs w:val="20"/>
          <w:lang w:val="en-GB"/>
        </w:rPr>
      </w:pPr>
      <w:r w:rsidRPr="00716942">
        <w:rPr>
          <w:rFonts w:ascii="Times New Roman" w:hAnsi="Times New Roman"/>
          <w:sz w:val="20"/>
          <w:szCs w:val="20"/>
          <w:lang w:val="en-GB"/>
        </w:rPr>
        <w:t>Amid the transformations that have marked the economic and social life, we are witnessing a reorientation of the research on corporate financing towards the study of the impact of debt financing on financial vulnerability. The old challenge (the ratio of debt in the firm’s overall financing) has been abandoned in favour of a new challenge: financial fragility and vulnerability to crises.</w:t>
      </w:r>
    </w:p>
    <w:p w:rsidR="009707B0" w:rsidRDefault="00716942" w:rsidP="006B4200">
      <w:pPr>
        <w:spacing w:after="0" w:line="240" w:lineRule="auto"/>
        <w:jc w:val="both"/>
        <w:rPr>
          <w:rFonts w:ascii="Times New Roman" w:hAnsi="Times New Roman"/>
          <w:sz w:val="20"/>
          <w:szCs w:val="20"/>
          <w:lang w:val="en-GB"/>
        </w:rPr>
      </w:pPr>
      <w:r w:rsidRPr="00716942">
        <w:rPr>
          <w:rFonts w:ascii="Times New Roman" w:hAnsi="Times New Roman"/>
          <w:sz w:val="20"/>
          <w:szCs w:val="20"/>
          <w:lang w:val="en-GB"/>
        </w:rPr>
        <w:t xml:space="preserve">The problems related to the way in which firms must finance their operations remain current and acute. This is due to the fact that indebtedness generates financial fragility, while the latter amplifies firms’ vulnerability during crisis periods; if a fundamental change does not occur in financing behaviours (in terms of a reduction of debt dependence), the vulnerability of the financial system to crises will be heightened. The basic solution to stabilise the economy is to change firms’ financing method (by reconsidering risks). </w:t>
      </w:r>
    </w:p>
    <w:p w:rsidR="00716942" w:rsidRPr="00716942" w:rsidRDefault="00716942" w:rsidP="006B4200">
      <w:pPr>
        <w:spacing w:after="0" w:line="240" w:lineRule="auto"/>
        <w:jc w:val="both"/>
        <w:rPr>
          <w:rFonts w:ascii="Times New Roman" w:hAnsi="Times New Roman"/>
          <w:sz w:val="20"/>
          <w:szCs w:val="20"/>
          <w:lang w:val="en-GB"/>
        </w:rPr>
      </w:pPr>
      <w:r w:rsidRPr="00716942">
        <w:rPr>
          <w:rStyle w:val="shorttext"/>
          <w:rFonts w:ascii="Times New Roman" w:hAnsi="Times New Roman"/>
          <w:sz w:val="20"/>
          <w:szCs w:val="20"/>
          <w:lang w:val="en"/>
        </w:rPr>
        <w:t>In the case of Romanian companies, t</w:t>
      </w:r>
      <w:r w:rsidRPr="00716942">
        <w:rPr>
          <w:rFonts w:ascii="Times New Roman" w:hAnsi="Times New Roman"/>
          <w:sz w:val="20"/>
          <w:szCs w:val="20"/>
          <w:lang w:val="en-GB"/>
        </w:rPr>
        <w:t xml:space="preserve">he evolution of current ratio levels validates the following hypothesis: </w:t>
      </w:r>
      <w:r w:rsidRPr="00716942">
        <w:rPr>
          <w:rFonts w:ascii="Times New Roman" w:hAnsi="Times New Roman"/>
          <w:i/>
          <w:sz w:val="20"/>
          <w:szCs w:val="20"/>
          <w:lang w:val="en-GB"/>
        </w:rPr>
        <w:t xml:space="preserve">during relatively tranquil times, liquidity is less important than solvency, while in a crisis </w:t>
      </w:r>
      <w:proofErr w:type="gramStart"/>
      <w:r w:rsidRPr="00716942">
        <w:rPr>
          <w:rFonts w:ascii="Times New Roman" w:hAnsi="Times New Roman"/>
          <w:i/>
          <w:sz w:val="20"/>
          <w:szCs w:val="20"/>
          <w:lang w:val="en-GB"/>
        </w:rPr>
        <w:t>environment,</w:t>
      </w:r>
      <w:proofErr w:type="gramEnd"/>
      <w:r w:rsidRPr="00716942">
        <w:rPr>
          <w:rFonts w:ascii="Times New Roman" w:hAnsi="Times New Roman"/>
          <w:i/>
          <w:sz w:val="20"/>
          <w:szCs w:val="20"/>
          <w:lang w:val="en-GB"/>
        </w:rPr>
        <w:t xml:space="preserve"> liquidity may become more important</w:t>
      </w:r>
      <w:r w:rsidRPr="00716942">
        <w:rPr>
          <w:rFonts w:ascii="Times New Roman" w:hAnsi="Times New Roman"/>
          <w:sz w:val="20"/>
          <w:szCs w:val="20"/>
          <w:lang w:val="en-GB"/>
        </w:rPr>
        <w:t xml:space="preserve"> (</w:t>
      </w:r>
      <w:r w:rsidR="006B3721" w:rsidRPr="00716942">
        <w:rPr>
          <w:rFonts w:ascii="Times New Roman" w:hAnsi="Times New Roman"/>
          <w:sz w:val="20"/>
          <w:szCs w:val="20"/>
          <w:lang w:val="en-GB"/>
        </w:rPr>
        <w:t>reached similar conclusions</w:t>
      </w:r>
      <w:r w:rsidR="006B3721">
        <w:rPr>
          <w:rFonts w:ascii="Times New Roman" w:hAnsi="Times New Roman"/>
          <w:sz w:val="20"/>
          <w:szCs w:val="20"/>
          <w:lang w:val="en-GB"/>
        </w:rPr>
        <w:t>;</w:t>
      </w:r>
      <w:r w:rsidR="006B3721" w:rsidRPr="00716942">
        <w:rPr>
          <w:rFonts w:ascii="Times New Roman" w:hAnsi="Times New Roman"/>
          <w:sz w:val="20"/>
          <w:szCs w:val="20"/>
          <w:lang w:val="en-GB"/>
        </w:rPr>
        <w:t xml:space="preserve"> </w:t>
      </w:r>
      <w:r w:rsidR="006B3721">
        <w:rPr>
          <w:rFonts w:ascii="Times New Roman" w:hAnsi="Times New Roman"/>
          <w:sz w:val="20"/>
          <w:szCs w:val="20"/>
          <w:lang w:val="en-GB"/>
        </w:rPr>
        <w:t>Bernanke et al., 1988;</w:t>
      </w:r>
      <w:r w:rsidRPr="00716942">
        <w:rPr>
          <w:rFonts w:ascii="Times New Roman" w:hAnsi="Times New Roman"/>
          <w:sz w:val="20"/>
          <w:szCs w:val="20"/>
          <w:lang w:val="en-GB"/>
        </w:rPr>
        <w:t xml:space="preserve"> </w:t>
      </w:r>
      <w:proofErr w:type="spellStart"/>
      <w:r w:rsidRPr="00716942">
        <w:rPr>
          <w:rFonts w:ascii="Times New Roman" w:hAnsi="Times New Roman"/>
          <w:sz w:val="20"/>
          <w:szCs w:val="20"/>
          <w:lang w:val="en-GB"/>
        </w:rPr>
        <w:t>Sen</w:t>
      </w:r>
      <w:proofErr w:type="spellEnd"/>
      <w:r w:rsidRPr="00716942">
        <w:rPr>
          <w:rFonts w:ascii="Times New Roman" w:hAnsi="Times New Roman"/>
          <w:sz w:val="20"/>
          <w:szCs w:val="20"/>
          <w:lang w:val="en-GB"/>
        </w:rPr>
        <w:t>, 2010</w:t>
      </w:r>
      <w:r w:rsidR="006B3721">
        <w:rPr>
          <w:rFonts w:ascii="Times New Roman" w:hAnsi="Times New Roman"/>
          <w:sz w:val="20"/>
          <w:szCs w:val="20"/>
          <w:lang w:val="en-GB"/>
        </w:rPr>
        <w:t>;</w:t>
      </w:r>
      <w:r w:rsidRPr="00716942">
        <w:rPr>
          <w:rFonts w:ascii="Times New Roman" w:hAnsi="Times New Roman"/>
          <w:sz w:val="20"/>
          <w:szCs w:val="20"/>
          <w:lang w:val="en-GB"/>
        </w:rPr>
        <w:t xml:space="preserve"> </w:t>
      </w:r>
      <w:proofErr w:type="spellStart"/>
      <w:r w:rsidR="006B3721" w:rsidRPr="006B3721">
        <w:rPr>
          <w:rFonts w:ascii="Times New Roman" w:hAnsi="Times New Roman"/>
          <w:sz w:val="20"/>
        </w:rPr>
        <w:t>Danso</w:t>
      </w:r>
      <w:proofErr w:type="spellEnd"/>
      <w:r w:rsidR="006B3721">
        <w:rPr>
          <w:rFonts w:ascii="Times New Roman" w:hAnsi="Times New Roman"/>
          <w:sz w:val="20"/>
        </w:rPr>
        <w:t xml:space="preserve"> and</w:t>
      </w:r>
      <w:r w:rsidR="006B3721" w:rsidRPr="006B3721">
        <w:rPr>
          <w:rFonts w:ascii="Times New Roman" w:hAnsi="Times New Roman"/>
          <w:sz w:val="20"/>
        </w:rPr>
        <w:t xml:space="preserve"> </w:t>
      </w:r>
      <w:proofErr w:type="spellStart"/>
      <w:r w:rsidR="006B3721" w:rsidRPr="006B3721">
        <w:rPr>
          <w:rFonts w:ascii="Times New Roman" w:hAnsi="Times New Roman"/>
          <w:sz w:val="20"/>
        </w:rPr>
        <w:t>Adomako</w:t>
      </w:r>
      <w:proofErr w:type="spellEnd"/>
      <w:r w:rsidR="006B3721" w:rsidRPr="006B3721">
        <w:rPr>
          <w:rFonts w:ascii="Times New Roman" w:hAnsi="Times New Roman"/>
          <w:sz w:val="20"/>
        </w:rPr>
        <w:t>,</w:t>
      </w:r>
      <w:r w:rsidR="006B3721">
        <w:rPr>
          <w:rFonts w:ascii="Times New Roman" w:hAnsi="Times New Roman"/>
          <w:sz w:val="20"/>
        </w:rPr>
        <w:t xml:space="preserve"> </w:t>
      </w:r>
      <w:r w:rsidRPr="006B3721">
        <w:rPr>
          <w:rFonts w:ascii="Times New Roman" w:hAnsi="Times New Roman"/>
          <w:sz w:val="20"/>
          <w:szCs w:val="20"/>
          <w:lang w:val="ro-RO"/>
        </w:rPr>
        <w:t>201</w:t>
      </w:r>
      <w:r w:rsidR="006B3721" w:rsidRPr="006B3721">
        <w:rPr>
          <w:rFonts w:ascii="Times New Roman" w:hAnsi="Times New Roman"/>
          <w:sz w:val="20"/>
          <w:szCs w:val="20"/>
          <w:lang w:val="ro-RO"/>
        </w:rPr>
        <w:t>4</w:t>
      </w:r>
      <w:r w:rsidRPr="00716942">
        <w:rPr>
          <w:rFonts w:ascii="Times New Roman" w:hAnsi="Times New Roman"/>
          <w:sz w:val="20"/>
          <w:szCs w:val="20"/>
          <w:lang w:val="en-GB"/>
        </w:rPr>
        <w:t xml:space="preserve">). The slight </w:t>
      </w:r>
      <w:r w:rsidRPr="009707B0">
        <w:rPr>
          <w:rFonts w:ascii="Times New Roman" w:hAnsi="Times New Roman"/>
          <w:sz w:val="20"/>
          <w:szCs w:val="20"/>
          <w:lang w:val="en-GB"/>
        </w:rPr>
        <w:t xml:space="preserve">increase </w:t>
      </w:r>
      <w:r w:rsidR="007A0916">
        <w:rPr>
          <w:rFonts w:ascii="Times New Roman" w:hAnsi="Times New Roman"/>
          <w:sz w:val="20"/>
          <w:szCs w:val="20"/>
          <w:lang w:val="en-GB"/>
        </w:rPr>
        <w:t>of</w:t>
      </w:r>
      <w:r w:rsidR="009707B0" w:rsidRPr="009707B0">
        <w:rPr>
          <w:rFonts w:ascii="Times New Roman" w:hAnsi="Times New Roman"/>
          <w:sz w:val="20"/>
          <w:szCs w:val="20"/>
          <w:lang w:val="en"/>
        </w:rPr>
        <w:t xml:space="preserve"> </w:t>
      </w:r>
      <w:r w:rsidR="009707B0">
        <w:rPr>
          <w:rFonts w:ascii="Times New Roman" w:hAnsi="Times New Roman"/>
          <w:sz w:val="20"/>
          <w:szCs w:val="20"/>
          <w:lang w:val="en"/>
        </w:rPr>
        <w:t xml:space="preserve">the current </w:t>
      </w:r>
      <w:r w:rsidR="009707B0" w:rsidRPr="009707B0">
        <w:rPr>
          <w:rFonts w:ascii="Times New Roman" w:hAnsi="Times New Roman"/>
          <w:sz w:val="20"/>
          <w:szCs w:val="20"/>
          <w:lang w:val="en"/>
        </w:rPr>
        <w:t>liquidity</w:t>
      </w:r>
      <w:r w:rsidR="009707B0" w:rsidRPr="009707B0">
        <w:rPr>
          <w:rFonts w:ascii="Times New Roman" w:hAnsi="Times New Roman"/>
          <w:sz w:val="20"/>
          <w:szCs w:val="20"/>
          <w:lang w:val="en-GB"/>
        </w:rPr>
        <w:t xml:space="preserve"> </w:t>
      </w:r>
      <w:r w:rsidRPr="009707B0">
        <w:rPr>
          <w:rFonts w:ascii="Times New Roman" w:hAnsi="Times New Roman"/>
          <w:sz w:val="20"/>
          <w:szCs w:val="20"/>
          <w:lang w:val="en-GB"/>
        </w:rPr>
        <w:t>over</w:t>
      </w:r>
      <w:r w:rsidRPr="00716942">
        <w:rPr>
          <w:rFonts w:ascii="Times New Roman" w:hAnsi="Times New Roman"/>
          <w:sz w:val="20"/>
          <w:szCs w:val="20"/>
          <w:lang w:val="en-GB"/>
        </w:rPr>
        <w:t xml:space="preserve"> the maximum level can be interpreted as the result of the firms’ concerns to provide liquidity (during crisis periods).</w:t>
      </w:r>
    </w:p>
    <w:p w:rsidR="00716942" w:rsidRPr="00716942" w:rsidRDefault="00716942" w:rsidP="006B4200">
      <w:pPr>
        <w:spacing w:after="0" w:line="240" w:lineRule="auto"/>
        <w:jc w:val="both"/>
        <w:rPr>
          <w:rFonts w:ascii="Times New Roman" w:hAnsi="Times New Roman"/>
          <w:sz w:val="20"/>
          <w:szCs w:val="20"/>
          <w:lang w:val="en-GB"/>
        </w:rPr>
      </w:pPr>
      <w:r w:rsidRPr="00716942">
        <w:rPr>
          <w:rFonts w:ascii="Times New Roman" w:hAnsi="Times New Roman"/>
          <w:sz w:val="20"/>
          <w:szCs w:val="20"/>
          <w:lang w:val="en-GB"/>
        </w:rPr>
        <w:t>The upward evolution of the solvency indicators indicates that firms have redefined their financial policies amid concerns to reduce financial vulnerability (by decreasing their medium and long-term debt).</w:t>
      </w:r>
    </w:p>
    <w:p w:rsidR="00716942" w:rsidRPr="00716942" w:rsidRDefault="00716942" w:rsidP="006B4200">
      <w:pPr>
        <w:spacing w:after="0" w:line="240" w:lineRule="auto"/>
        <w:jc w:val="both"/>
        <w:rPr>
          <w:rFonts w:ascii="Times New Roman" w:hAnsi="Times New Roman"/>
          <w:sz w:val="20"/>
          <w:szCs w:val="20"/>
          <w:lang w:val="en-GB"/>
        </w:rPr>
      </w:pPr>
      <w:r w:rsidRPr="00716942">
        <w:rPr>
          <w:rFonts w:ascii="Times New Roman" w:hAnsi="Times New Roman"/>
          <w:sz w:val="20"/>
          <w:szCs w:val="20"/>
          <w:lang w:val="en-GB"/>
        </w:rPr>
        <w:t>The information obtained on the variation of net cash flow reveals a deterioration in long-term financial balance in the first three years of the examined period, followed by a slower recovery to the original condition (over the next three years). This movement confirms the hypothesis that during the pre-crisis period there was a general tendency towards increased leverage in the whole system (</w:t>
      </w:r>
      <w:proofErr w:type="spellStart"/>
      <w:r w:rsidRPr="00716942">
        <w:rPr>
          <w:rFonts w:ascii="Times New Roman" w:hAnsi="Times New Roman"/>
          <w:sz w:val="20"/>
          <w:szCs w:val="20"/>
          <w:lang w:val="en-GB"/>
        </w:rPr>
        <w:t>Iancu</w:t>
      </w:r>
      <w:proofErr w:type="spellEnd"/>
      <w:r w:rsidRPr="00716942">
        <w:rPr>
          <w:rFonts w:ascii="Times New Roman" w:hAnsi="Times New Roman"/>
          <w:sz w:val="20"/>
          <w:szCs w:val="20"/>
          <w:lang w:val="en-GB"/>
        </w:rPr>
        <w:t>, 2010), leading to increased vulnerability. During the crisis, changes in the financing habits (in the sense of a decreasing reliance on debt) reduced the vulnerability of the system. The change in the firms’ financing approach (owing to a reconsideration of risk) enabled the improvement in the situation of the companies under review (which returned to pre-crisis levels).</w:t>
      </w:r>
    </w:p>
    <w:p w:rsidR="00716942" w:rsidRPr="009707B0" w:rsidRDefault="00716942" w:rsidP="006B4200">
      <w:pPr>
        <w:spacing w:after="0" w:line="240" w:lineRule="auto"/>
        <w:jc w:val="both"/>
        <w:rPr>
          <w:rFonts w:ascii="Times New Roman" w:hAnsi="Times New Roman"/>
          <w:sz w:val="20"/>
          <w:szCs w:val="20"/>
          <w:lang w:val="en-GB"/>
        </w:rPr>
      </w:pPr>
      <w:r w:rsidRPr="009707B0">
        <w:rPr>
          <w:rStyle w:val="hps"/>
          <w:rFonts w:ascii="Times New Roman" w:hAnsi="Times New Roman"/>
          <w:sz w:val="20"/>
          <w:szCs w:val="20"/>
          <w:lang w:val="en-GB"/>
        </w:rPr>
        <w:t xml:space="preserve">Considering that research in the field has expanded considerably over the years, we would like to note that, for the purposes of this study, we aimed to provide a selection of the most relevant research; hence, we acknowledge that the study does not claim to be exhaustive. Beyond these limitations, we consider that the stated opinions remain relevant. </w:t>
      </w:r>
      <w:r w:rsidRPr="009707B0">
        <w:rPr>
          <w:rFonts w:ascii="Times New Roman" w:hAnsi="Times New Roman"/>
          <w:sz w:val="20"/>
          <w:szCs w:val="20"/>
          <w:lang w:val="en-GB"/>
        </w:rPr>
        <w:t>The paper serves as a starting point for conducting future, more extensive research.</w:t>
      </w:r>
    </w:p>
    <w:p w:rsidR="001F243B" w:rsidRPr="00A15675" w:rsidRDefault="001F243B" w:rsidP="006B4200">
      <w:pPr>
        <w:spacing w:after="0" w:line="240" w:lineRule="auto"/>
        <w:jc w:val="both"/>
        <w:rPr>
          <w:rFonts w:ascii="Times New Roman" w:hAnsi="Times New Roman"/>
        </w:rPr>
      </w:pPr>
    </w:p>
    <w:p w:rsidR="00505E50" w:rsidRPr="00A8647C" w:rsidRDefault="0065081A" w:rsidP="006B4200">
      <w:pPr>
        <w:spacing w:after="0" w:line="240" w:lineRule="auto"/>
        <w:jc w:val="both"/>
        <w:rPr>
          <w:rFonts w:ascii="Times New Roman" w:hAnsi="Times New Roman"/>
          <w:b/>
          <w:color w:val="FF0000"/>
          <w:sz w:val="20"/>
          <w:szCs w:val="20"/>
        </w:rPr>
      </w:pPr>
      <w:r w:rsidRPr="00A8647C">
        <w:rPr>
          <w:rFonts w:ascii="Times New Roman" w:hAnsi="Times New Roman"/>
          <w:b/>
          <w:sz w:val="20"/>
          <w:szCs w:val="20"/>
        </w:rPr>
        <w:t>References</w:t>
      </w:r>
      <w:r w:rsidR="0023661C" w:rsidRPr="00A8647C">
        <w:rPr>
          <w:rFonts w:ascii="Times New Roman" w:hAnsi="Times New Roman"/>
          <w:b/>
          <w:sz w:val="20"/>
          <w:szCs w:val="20"/>
        </w:rPr>
        <w:t xml:space="preserve"> </w:t>
      </w:r>
    </w:p>
    <w:p w:rsidR="00A8647C" w:rsidRPr="00A8647C" w:rsidRDefault="00A8647C" w:rsidP="006B4200">
      <w:pPr>
        <w:pStyle w:val="ListParagraph"/>
        <w:spacing w:after="0" w:line="240" w:lineRule="auto"/>
        <w:ind w:left="567" w:hanging="567"/>
        <w:contextualSpacing/>
        <w:jc w:val="both"/>
        <w:rPr>
          <w:rFonts w:ascii="Times New Roman" w:hAnsi="Times New Roman"/>
          <w:sz w:val="20"/>
          <w:szCs w:val="20"/>
          <w:lang w:val="en-GB"/>
        </w:rPr>
      </w:pPr>
      <w:r w:rsidRPr="00A8647C">
        <w:rPr>
          <w:rStyle w:val="searchword"/>
          <w:rFonts w:ascii="Times New Roman" w:hAnsi="Times New Roman"/>
          <w:sz w:val="20"/>
          <w:szCs w:val="20"/>
          <w:lang w:val="en-GB"/>
        </w:rPr>
        <w:t>Almeida,</w:t>
      </w:r>
      <w:r w:rsidRPr="00A8647C">
        <w:rPr>
          <w:rFonts w:ascii="Times New Roman" w:hAnsi="Times New Roman"/>
          <w:sz w:val="20"/>
          <w:szCs w:val="20"/>
          <w:lang w:val="en-GB"/>
        </w:rPr>
        <w:t xml:space="preserve"> H., </w:t>
      </w:r>
      <w:proofErr w:type="spellStart"/>
      <w:r w:rsidRPr="00A8647C">
        <w:rPr>
          <w:rStyle w:val="searchword"/>
          <w:rFonts w:ascii="Times New Roman" w:hAnsi="Times New Roman"/>
          <w:sz w:val="20"/>
          <w:szCs w:val="20"/>
          <w:lang w:val="en-GB"/>
        </w:rPr>
        <w:t>Campello</w:t>
      </w:r>
      <w:proofErr w:type="spellEnd"/>
      <w:r w:rsidRPr="00A8647C">
        <w:rPr>
          <w:rStyle w:val="searchword"/>
          <w:rFonts w:ascii="Times New Roman" w:hAnsi="Times New Roman"/>
          <w:sz w:val="20"/>
          <w:szCs w:val="20"/>
          <w:lang w:val="en-GB"/>
        </w:rPr>
        <w:t>,</w:t>
      </w:r>
      <w:r w:rsidRPr="00A8647C">
        <w:rPr>
          <w:rFonts w:ascii="Times New Roman" w:hAnsi="Times New Roman"/>
          <w:sz w:val="20"/>
          <w:szCs w:val="20"/>
          <w:lang w:val="en-GB"/>
        </w:rPr>
        <w:t xml:space="preserve"> M., </w:t>
      </w:r>
      <w:proofErr w:type="spellStart"/>
      <w:r w:rsidRPr="00A8647C">
        <w:rPr>
          <w:rStyle w:val="searchword"/>
          <w:rFonts w:ascii="Times New Roman" w:hAnsi="Times New Roman"/>
          <w:sz w:val="20"/>
          <w:szCs w:val="20"/>
          <w:lang w:val="en-GB"/>
        </w:rPr>
        <w:t>Laranjeira</w:t>
      </w:r>
      <w:proofErr w:type="spellEnd"/>
      <w:r w:rsidRPr="00A8647C">
        <w:rPr>
          <w:rFonts w:ascii="Times New Roman" w:hAnsi="Times New Roman"/>
          <w:sz w:val="20"/>
          <w:szCs w:val="20"/>
          <w:lang w:val="en-GB"/>
        </w:rPr>
        <w:t>, B. A</w:t>
      </w:r>
      <w:r w:rsidR="00562432">
        <w:rPr>
          <w:rFonts w:ascii="Times New Roman" w:hAnsi="Times New Roman"/>
          <w:sz w:val="20"/>
          <w:szCs w:val="20"/>
          <w:lang w:val="en-GB"/>
        </w:rPr>
        <w:t>.</w:t>
      </w:r>
      <w:r w:rsidRPr="00A8647C">
        <w:rPr>
          <w:rFonts w:ascii="Times New Roman" w:hAnsi="Times New Roman"/>
          <w:sz w:val="20"/>
          <w:szCs w:val="20"/>
          <w:lang w:val="en-GB"/>
        </w:rPr>
        <w:t xml:space="preserve"> and </w:t>
      </w:r>
      <w:proofErr w:type="spellStart"/>
      <w:r w:rsidRPr="00A8647C">
        <w:rPr>
          <w:rStyle w:val="searchword"/>
          <w:rFonts w:ascii="Times New Roman" w:hAnsi="Times New Roman"/>
          <w:sz w:val="20"/>
          <w:szCs w:val="20"/>
          <w:lang w:val="en-GB"/>
        </w:rPr>
        <w:t>Weisbenner</w:t>
      </w:r>
      <w:proofErr w:type="spellEnd"/>
      <w:r w:rsidRPr="00A8647C">
        <w:rPr>
          <w:rStyle w:val="searchword"/>
          <w:rFonts w:ascii="Times New Roman" w:hAnsi="Times New Roman"/>
          <w:sz w:val="20"/>
          <w:szCs w:val="20"/>
          <w:lang w:val="en-GB"/>
        </w:rPr>
        <w:t>,</w:t>
      </w:r>
      <w:r w:rsidRPr="00A8647C">
        <w:rPr>
          <w:rFonts w:ascii="Times New Roman" w:hAnsi="Times New Roman"/>
          <w:sz w:val="20"/>
          <w:szCs w:val="20"/>
          <w:lang w:val="en-GB"/>
        </w:rPr>
        <w:t xml:space="preserve"> S. J. (201</w:t>
      </w:r>
      <w:r w:rsidR="00562432">
        <w:rPr>
          <w:rFonts w:ascii="Times New Roman" w:hAnsi="Times New Roman"/>
          <w:sz w:val="20"/>
          <w:szCs w:val="20"/>
          <w:lang w:val="en-GB"/>
        </w:rPr>
        <w:t>1</w:t>
      </w:r>
      <w:r w:rsidRPr="00A8647C">
        <w:rPr>
          <w:rFonts w:ascii="Times New Roman" w:hAnsi="Times New Roman"/>
          <w:sz w:val="20"/>
          <w:szCs w:val="20"/>
          <w:lang w:val="en-GB"/>
        </w:rPr>
        <w:t>)</w:t>
      </w:r>
      <w:r w:rsidR="00562432">
        <w:rPr>
          <w:rFonts w:ascii="Times New Roman" w:hAnsi="Times New Roman"/>
          <w:sz w:val="20"/>
          <w:szCs w:val="20"/>
          <w:lang w:val="en-GB"/>
        </w:rPr>
        <w:t>,</w:t>
      </w:r>
      <w:r w:rsidRPr="00A8647C">
        <w:rPr>
          <w:rFonts w:ascii="Times New Roman" w:hAnsi="Times New Roman"/>
          <w:sz w:val="20"/>
          <w:szCs w:val="20"/>
          <w:lang w:val="en-GB"/>
        </w:rPr>
        <w:t xml:space="preserve"> Corporate Debt Maturity and the Real Effects of the 2007 Credit Crisis. Available at </w:t>
      </w:r>
      <w:r w:rsidRPr="00A8647C">
        <w:rPr>
          <w:rFonts w:ascii="Times New Roman" w:hAnsi="Times New Roman"/>
          <w:sz w:val="20"/>
          <w:szCs w:val="20"/>
          <w:lang w:val="en-GB"/>
        </w:rPr>
        <w:lastRenderedPageBreak/>
        <w:t xml:space="preserve">SSRN: http://ssrn.com/abstract=1405505 or </w:t>
      </w:r>
      <w:hyperlink r:id="rId10" w:history="1">
        <w:r w:rsidR="00562432" w:rsidRPr="00562432">
          <w:rPr>
            <w:rStyle w:val="Hyperlink"/>
            <w:rFonts w:ascii="Times New Roman" w:hAnsi="Times New Roman"/>
            <w:color w:val="auto"/>
            <w:sz w:val="16"/>
            <w:szCs w:val="20"/>
            <w:u w:val="none"/>
            <w:lang w:val="en-GB"/>
          </w:rPr>
          <w:t>http://dx.doi.org/10.2139/ssrn.1405505</w:t>
        </w:r>
      </w:hyperlink>
      <w:r w:rsidRPr="00A8647C">
        <w:rPr>
          <w:rFonts w:ascii="Times New Roman" w:hAnsi="Times New Roman"/>
          <w:sz w:val="20"/>
          <w:szCs w:val="20"/>
          <w:lang w:val="en-GB"/>
        </w:rPr>
        <w:t>, Accessed 11.0</w:t>
      </w:r>
      <w:r w:rsidR="00562432">
        <w:rPr>
          <w:rFonts w:ascii="Times New Roman" w:hAnsi="Times New Roman"/>
          <w:sz w:val="20"/>
          <w:szCs w:val="20"/>
          <w:lang w:val="en-GB"/>
        </w:rPr>
        <w:t>3</w:t>
      </w:r>
      <w:r w:rsidRPr="00A8647C">
        <w:rPr>
          <w:rFonts w:ascii="Times New Roman" w:hAnsi="Times New Roman"/>
          <w:sz w:val="20"/>
          <w:szCs w:val="20"/>
          <w:lang w:val="en-GB"/>
        </w:rPr>
        <w:t>.201</w:t>
      </w:r>
      <w:r w:rsidR="00562432">
        <w:rPr>
          <w:rFonts w:ascii="Times New Roman" w:hAnsi="Times New Roman"/>
          <w:sz w:val="20"/>
          <w:szCs w:val="20"/>
          <w:lang w:val="en-GB"/>
        </w:rPr>
        <w:t>7</w:t>
      </w:r>
    </w:p>
    <w:p w:rsidR="00A8647C" w:rsidRPr="00A8647C" w:rsidRDefault="00A8647C" w:rsidP="006B4200">
      <w:pPr>
        <w:pStyle w:val="references"/>
        <w:numPr>
          <w:ilvl w:val="0"/>
          <w:numId w:val="0"/>
        </w:numPr>
        <w:spacing w:after="0" w:line="240" w:lineRule="auto"/>
        <w:ind w:left="567" w:hanging="567"/>
        <w:rPr>
          <w:noProof w:val="0"/>
          <w:sz w:val="20"/>
          <w:szCs w:val="20"/>
          <w:lang w:val="en-GB"/>
        </w:rPr>
      </w:pPr>
      <w:r w:rsidRPr="00A8647C">
        <w:rPr>
          <w:noProof w:val="0"/>
          <w:sz w:val="20"/>
          <w:szCs w:val="20"/>
          <w:lang w:val="en-GB"/>
        </w:rPr>
        <w:t>Bernanke, B., Campbell, J., Friedman, B</w:t>
      </w:r>
      <w:r w:rsidR="00562432">
        <w:rPr>
          <w:noProof w:val="0"/>
          <w:sz w:val="20"/>
          <w:szCs w:val="20"/>
          <w:lang w:val="en-GB"/>
        </w:rPr>
        <w:t>.</w:t>
      </w:r>
      <w:r w:rsidRPr="00A8647C">
        <w:rPr>
          <w:noProof w:val="0"/>
          <w:sz w:val="20"/>
          <w:szCs w:val="20"/>
          <w:lang w:val="en-GB"/>
        </w:rPr>
        <w:t xml:space="preserve"> and Summers, L. (1988)</w:t>
      </w:r>
      <w:r w:rsidR="00562432">
        <w:rPr>
          <w:noProof w:val="0"/>
          <w:sz w:val="20"/>
          <w:szCs w:val="20"/>
          <w:lang w:val="en-GB"/>
        </w:rPr>
        <w:t>,</w:t>
      </w:r>
      <w:r w:rsidRPr="00A8647C">
        <w:rPr>
          <w:noProof w:val="0"/>
          <w:sz w:val="20"/>
          <w:szCs w:val="20"/>
          <w:lang w:val="en-GB"/>
        </w:rPr>
        <w:t xml:space="preserve"> Is There a Corporate Debt Crisis</w:t>
      </w:r>
      <w:proofErr w:type="gramStart"/>
      <w:r w:rsidRPr="00A8647C">
        <w:rPr>
          <w:noProof w:val="0"/>
          <w:sz w:val="20"/>
          <w:szCs w:val="20"/>
          <w:lang w:val="en-GB"/>
        </w:rPr>
        <w:t>?,</w:t>
      </w:r>
      <w:proofErr w:type="gramEnd"/>
      <w:r w:rsidRPr="00A8647C">
        <w:rPr>
          <w:noProof w:val="0"/>
          <w:sz w:val="20"/>
          <w:szCs w:val="20"/>
          <w:lang w:val="en-GB"/>
        </w:rPr>
        <w:t xml:space="preserve"> </w:t>
      </w:r>
      <w:r w:rsidRPr="00A8647C">
        <w:rPr>
          <w:i/>
          <w:iCs/>
          <w:noProof w:val="0"/>
          <w:sz w:val="20"/>
          <w:szCs w:val="20"/>
          <w:lang w:val="en-GB"/>
        </w:rPr>
        <w:t>Brookings Papers on Economic Activity</w:t>
      </w:r>
      <w:r w:rsidRPr="00A8647C">
        <w:rPr>
          <w:noProof w:val="0"/>
          <w:sz w:val="20"/>
          <w:szCs w:val="20"/>
          <w:lang w:val="en-GB"/>
        </w:rPr>
        <w:t>, Vol. 19, No. 1, pp. 83–134</w:t>
      </w:r>
    </w:p>
    <w:p w:rsidR="00A8647C" w:rsidRPr="00A8647C" w:rsidRDefault="00A8647C" w:rsidP="006B4200">
      <w:pPr>
        <w:pStyle w:val="ListParagraph"/>
        <w:autoSpaceDE w:val="0"/>
        <w:autoSpaceDN w:val="0"/>
        <w:adjustRightInd w:val="0"/>
        <w:spacing w:after="0" w:line="240" w:lineRule="auto"/>
        <w:ind w:left="567" w:hanging="567"/>
        <w:contextualSpacing/>
        <w:jc w:val="both"/>
        <w:rPr>
          <w:rFonts w:ascii="Times New Roman" w:hAnsi="Times New Roman"/>
          <w:sz w:val="20"/>
          <w:szCs w:val="20"/>
          <w:lang w:val="en-GB"/>
        </w:rPr>
      </w:pPr>
      <w:proofErr w:type="spellStart"/>
      <w:r w:rsidRPr="00A8647C">
        <w:rPr>
          <w:rFonts w:ascii="Times New Roman" w:hAnsi="Times New Roman"/>
          <w:sz w:val="20"/>
          <w:szCs w:val="20"/>
          <w:lang w:val="en-GB"/>
        </w:rPr>
        <w:t>Campello</w:t>
      </w:r>
      <w:proofErr w:type="spellEnd"/>
      <w:r w:rsidRPr="00A8647C">
        <w:rPr>
          <w:rFonts w:ascii="Times New Roman" w:hAnsi="Times New Roman"/>
          <w:sz w:val="20"/>
          <w:szCs w:val="20"/>
          <w:lang w:val="en-GB"/>
        </w:rPr>
        <w:t>, M, Graham, J and Harvey C. (2010b)</w:t>
      </w:r>
      <w:r w:rsidR="00562432">
        <w:rPr>
          <w:rFonts w:ascii="Times New Roman" w:hAnsi="Times New Roman"/>
          <w:sz w:val="20"/>
          <w:szCs w:val="20"/>
          <w:lang w:val="en-GB"/>
        </w:rPr>
        <w:t>,</w:t>
      </w:r>
      <w:r w:rsidRPr="00A8647C">
        <w:rPr>
          <w:rFonts w:ascii="Times New Roman" w:hAnsi="Times New Roman"/>
          <w:sz w:val="20"/>
          <w:szCs w:val="20"/>
          <w:lang w:val="en-GB"/>
        </w:rPr>
        <w:t xml:space="preserve"> </w:t>
      </w:r>
      <w:proofErr w:type="gramStart"/>
      <w:r w:rsidRPr="00A8647C">
        <w:rPr>
          <w:rFonts w:ascii="Times New Roman" w:hAnsi="Times New Roman"/>
          <w:sz w:val="20"/>
          <w:szCs w:val="20"/>
          <w:lang w:val="en-GB"/>
        </w:rPr>
        <w:t>The</w:t>
      </w:r>
      <w:proofErr w:type="gramEnd"/>
      <w:r w:rsidRPr="00A8647C">
        <w:rPr>
          <w:rFonts w:ascii="Times New Roman" w:hAnsi="Times New Roman"/>
          <w:sz w:val="20"/>
          <w:szCs w:val="20"/>
          <w:lang w:val="en-GB"/>
        </w:rPr>
        <w:t xml:space="preserve"> real effects of financial constraints: Evidence from a financial crisis, </w:t>
      </w:r>
      <w:r w:rsidRPr="00A8647C">
        <w:rPr>
          <w:rFonts w:ascii="Times New Roman" w:hAnsi="Times New Roman"/>
          <w:i/>
          <w:sz w:val="20"/>
          <w:szCs w:val="20"/>
          <w:lang w:val="en-GB"/>
        </w:rPr>
        <w:t xml:space="preserve">Journal of Financial Economics, </w:t>
      </w:r>
      <w:r w:rsidRPr="00A8647C">
        <w:rPr>
          <w:rFonts w:ascii="Times New Roman" w:hAnsi="Times New Roman"/>
          <w:sz w:val="20"/>
          <w:szCs w:val="20"/>
          <w:lang w:val="en-GB"/>
        </w:rPr>
        <w:t>Vol. 97, Issue 3, pp. 470-487</w:t>
      </w:r>
    </w:p>
    <w:p w:rsidR="006B3721" w:rsidRDefault="00A8647C" w:rsidP="006B3721">
      <w:pPr>
        <w:pStyle w:val="ListParagraph"/>
        <w:autoSpaceDE w:val="0"/>
        <w:autoSpaceDN w:val="0"/>
        <w:adjustRightInd w:val="0"/>
        <w:spacing w:after="0" w:line="240" w:lineRule="auto"/>
        <w:ind w:left="567" w:hanging="567"/>
        <w:contextualSpacing/>
        <w:jc w:val="both"/>
        <w:rPr>
          <w:rFonts w:ascii="Times New Roman" w:hAnsi="Times New Roman"/>
          <w:sz w:val="20"/>
          <w:szCs w:val="20"/>
          <w:shd w:val="clear" w:color="auto" w:fill="FFFFFF"/>
        </w:rPr>
      </w:pPr>
      <w:proofErr w:type="spellStart"/>
      <w:r w:rsidRPr="00A8647C">
        <w:rPr>
          <w:rFonts w:ascii="Times New Roman" w:hAnsi="Times New Roman"/>
          <w:sz w:val="20"/>
          <w:szCs w:val="20"/>
          <w:lang w:val="en-GB"/>
        </w:rPr>
        <w:t>Campello</w:t>
      </w:r>
      <w:proofErr w:type="spellEnd"/>
      <w:r w:rsidRPr="00A8647C">
        <w:rPr>
          <w:rFonts w:ascii="Times New Roman" w:hAnsi="Times New Roman"/>
          <w:sz w:val="20"/>
          <w:szCs w:val="20"/>
          <w:lang w:val="en-GB"/>
        </w:rPr>
        <w:t xml:space="preserve">, M., </w:t>
      </w:r>
      <w:proofErr w:type="spellStart"/>
      <w:r w:rsidRPr="00A8647C">
        <w:rPr>
          <w:rFonts w:ascii="Times New Roman" w:hAnsi="Times New Roman"/>
          <w:sz w:val="20"/>
          <w:szCs w:val="20"/>
          <w:lang w:val="en-GB"/>
        </w:rPr>
        <w:t>Giambona</w:t>
      </w:r>
      <w:proofErr w:type="spellEnd"/>
      <w:r w:rsidRPr="00A8647C">
        <w:rPr>
          <w:rFonts w:ascii="Times New Roman" w:hAnsi="Times New Roman"/>
          <w:sz w:val="20"/>
          <w:szCs w:val="20"/>
          <w:lang w:val="en-GB"/>
        </w:rPr>
        <w:t>, E., Graham, J. R and Harvey, C. R. (2010a)</w:t>
      </w:r>
      <w:r w:rsidR="00562432">
        <w:rPr>
          <w:rFonts w:ascii="Times New Roman" w:hAnsi="Times New Roman"/>
          <w:sz w:val="20"/>
          <w:szCs w:val="20"/>
          <w:lang w:val="en-GB"/>
        </w:rPr>
        <w:t>,</w:t>
      </w:r>
      <w:r w:rsidRPr="00A8647C">
        <w:rPr>
          <w:rFonts w:ascii="Times New Roman" w:hAnsi="Times New Roman"/>
          <w:sz w:val="20"/>
          <w:szCs w:val="20"/>
          <w:lang w:val="en-GB"/>
        </w:rPr>
        <w:t xml:space="preserve"> </w:t>
      </w:r>
      <w:r w:rsidRPr="00A8647C">
        <w:rPr>
          <w:rFonts w:ascii="Times New Roman" w:hAnsi="Times New Roman"/>
          <w:i/>
          <w:sz w:val="20"/>
          <w:szCs w:val="20"/>
          <w:lang w:val="en-GB"/>
        </w:rPr>
        <w:t>Liquidity Management and Corporate Investment During a Financial Crisis</w:t>
      </w:r>
      <w:r w:rsidR="00562432">
        <w:rPr>
          <w:rFonts w:ascii="Times New Roman" w:hAnsi="Times New Roman"/>
          <w:sz w:val="20"/>
          <w:szCs w:val="20"/>
          <w:lang w:val="en-GB"/>
        </w:rPr>
        <w:t>,</w:t>
      </w:r>
      <w:r w:rsidRPr="00A8647C">
        <w:rPr>
          <w:rFonts w:ascii="Times New Roman" w:hAnsi="Times New Roman"/>
          <w:sz w:val="20"/>
          <w:szCs w:val="20"/>
          <w:lang w:val="en-GB"/>
        </w:rPr>
        <w:t xml:space="preserve"> R</w:t>
      </w:r>
      <w:proofErr w:type="spellStart"/>
      <w:r w:rsidRPr="00A8647C">
        <w:rPr>
          <w:rFonts w:ascii="Times New Roman" w:hAnsi="Times New Roman"/>
          <w:sz w:val="20"/>
          <w:szCs w:val="20"/>
          <w:shd w:val="clear" w:color="auto" w:fill="FFFFFF"/>
        </w:rPr>
        <w:t>eview</w:t>
      </w:r>
      <w:proofErr w:type="spellEnd"/>
      <w:r w:rsidRPr="00A8647C">
        <w:rPr>
          <w:rFonts w:ascii="Times New Roman" w:hAnsi="Times New Roman"/>
          <w:sz w:val="20"/>
          <w:szCs w:val="20"/>
          <w:shd w:val="clear" w:color="auto" w:fill="FFFFFF"/>
        </w:rPr>
        <w:t xml:space="preserve"> of Financial Studies, Society for Financial Studies, </w:t>
      </w:r>
      <w:r w:rsidR="00562432" w:rsidRPr="00A8647C">
        <w:rPr>
          <w:rFonts w:ascii="Times New Roman" w:hAnsi="Times New Roman"/>
          <w:sz w:val="20"/>
          <w:szCs w:val="20"/>
          <w:shd w:val="clear" w:color="auto" w:fill="FFFFFF"/>
        </w:rPr>
        <w:t>Vol</w:t>
      </w:r>
      <w:r w:rsidRPr="00A8647C">
        <w:rPr>
          <w:rFonts w:ascii="Times New Roman" w:hAnsi="Times New Roman"/>
          <w:sz w:val="20"/>
          <w:szCs w:val="20"/>
          <w:shd w:val="clear" w:color="auto" w:fill="FFFFFF"/>
        </w:rPr>
        <w:t>. 24, No. 6, pp. 1944-1979</w:t>
      </w:r>
    </w:p>
    <w:p w:rsidR="006B3721" w:rsidRPr="006B3721" w:rsidRDefault="006B3721" w:rsidP="006B3721">
      <w:pPr>
        <w:pStyle w:val="ListParagraph"/>
        <w:autoSpaceDE w:val="0"/>
        <w:autoSpaceDN w:val="0"/>
        <w:adjustRightInd w:val="0"/>
        <w:spacing w:after="0" w:line="240" w:lineRule="auto"/>
        <w:ind w:left="567" w:hanging="567"/>
        <w:contextualSpacing/>
        <w:jc w:val="both"/>
        <w:rPr>
          <w:rFonts w:ascii="Times New Roman" w:hAnsi="Times New Roman"/>
          <w:sz w:val="20"/>
        </w:rPr>
      </w:pPr>
      <w:proofErr w:type="spellStart"/>
      <w:r w:rsidRPr="006B3721">
        <w:rPr>
          <w:rFonts w:ascii="Times New Roman" w:hAnsi="Times New Roman"/>
          <w:sz w:val="20"/>
        </w:rPr>
        <w:t>Danso</w:t>
      </w:r>
      <w:proofErr w:type="spellEnd"/>
      <w:r w:rsidRPr="006B3721">
        <w:rPr>
          <w:rFonts w:ascii="Times New Roman" w:hAnsi="Times New Roman"/>
          <w:sz w:val="20"/>
        </w:rPr>
        <w:t xml:space="preserve">, A., </w:t>
      </w:r>
      <w:proofErr w:type="spellStart"/>
      <w:r w:rsidRPr="006B3721">
        <w:rPr>
          <w:rFonts w:ascii="Times New Roman" w:hAnsi="Times New Roman"/>
          <w:sz w:val="20"/>
        </w:rPr>
        <w:t>Adomako</w:t>
      </w:r>
      <w:proofErr w:type="spellEnd"/>
      <w:r w:rsidRPr="006B3721">
        <w:rPr>
          <w:rFonts w:ascii="Times New Roman" w:hAnsi="Times New Roman"/>
          <w:sz w:val="20"/>
        </w:rPr>
        <w:t xml:space="preserve">, S. (2014), The financing </w:t>
      </w:r>
      <w:proofErr w:type="spellStart"/>
      <w:r w:rsidRPr="006B3721">
        <w:rPr>
          <w:rFonts w:ascii="Times New Roman" w:hAnsi="Times New Roman"/>
          <w:sz w:val="20"/>
        </w:rPr>
        <w:t>behaviour</w:t>
      </w:r>
      <w:proofErr w:type="spellEnd"/>
      <w:r w:rsidRPr="006B3721">
        <w:rPr>
          <w:rFonts w:ascii="Times New Roman" w:hAnsi="Times New Roman"/>
          <w:sz w:val="20"/>
        </w:rPr>
        <w:t xml:space="preserve"> of firms and financial crisis, </w:t>
      </w:r>
      <w:r w:rsidRPr="00562432">
        <w:rPr>
          <w:rFonts w:ascii="Times New Roman" w:hAnsi="Times New Roman"/>
          <w:i/>
          <w:sz w:val="20"/>
        </w:rPr>
        <w:t>Managerial Finance</w:t>
      </w:r>
      <w:r w:rsidRPr="006B3721">
        <w:rPr>
          <w:rFonts w:ascii="Times New Roman" w:hAnsi="Times New Roman"/>
          <w:sz w:val="20"/>
        </w:rPr>
        <w:t xml:space="preserve">, </w:t>
      </w:r>
      <w:r w:rsidR="00562432" w:rsidRPr="006B3721">
        <w:rPr>
          <w:rFonts w:ascii="Times New Roman" w:hAnsi="Times New Roman"/>
          <w:sz w:val="20"/>
        </w:rPr>
        <w:t>Vol</w:t>
      </w:r>
      <w:r w:rsidRPr="006B3721">
        <w:rPr>
          <w:rFonts w:ascii="Times New Roman" w:hAnsi="Times New Roman"/>
          <w:sz w:val="20"/>
        </w:rPr>
        <w:t xml:space="preserve">. 40, </w:t>
      </w:r>
      <w:r w:rsidR="00562432" w:rsidRPr="006B3721">
        <w:rPr>
          <w:rFonts w:ascii="Times New Roman" w:hAnsi="Times New Roman"/>
          <w:sz w:val="20"/>
        </w:rPr>
        <w:t>No</w:t>
      </w:r>
      <w:r w:rsidRPr="006B3721">
        <w:rPr>
          <w:rFonts w:ascii="Times New Roman" w:hAnsi="Times New Roman"/>
          <w:sz w:val="20"/>
        </w:rPr>
        <w:t>. 12, pp. 1159-1174</w:t>
      </w:r>
    </w:p>
    <w:p w:rsidR="00A8647C" w:rsidRPr="00A8647C" w:rsidRDefault="00A8647C" w:rsidP="006B4200">
      <w:pPr>
        <w:pStyle w:val="ListParagraph"/>
        <w:autoSpaceDE w:val="0"/>
        <w:autoSpaceDN w:val="0"/>
        <w:adjustRightInd w:val="0"/>
        <w:spacing w:after="0" w:line="240" w:lineRule="auto"/>
        <w:ind w:left="567" w:hanging="567"/>
        <w:contextualSpacing/>
        <w:jc w:val="both"/>
        <w:rPr>
          <w:rFonts w:ascii="Times New Roman" w:hAnsi="Times New Roman"/>
          <w:sz w:val="20"/>
          <w:szCs w:val="20"/>
          <w:lang w:val="en-GB"/>
        </w:rPr>
      </w:pPr>
      <w:proofErr w:type="spellStart"/>
      <w:r w:rsidRPr="00A8647C">
        <w:rPr>
          <w:rFonts w:ascii="Times New Roman" w:hAnsi="Times New Roman"/>
          <w:sz w:val="20"/>
          <w:szCs w:val="20"/>
          <w:lang w:val="en-GB"/>
        </w:rPr>
        <w:t>Duchin</w:t>
      </w:r>
      <w:proofErr w:type="spellEnd"/>
      <w:r w:rsidRPr="00A8647C">
        <w:rPr>
          <w:rFonts w:ascii="Times New Roman" w:hAnsi="Times New Roman"/>
          <w:sz w:val="20"/>
          <w:szCs w:val="20"/>
          <w:lang w:val="en-GB"/>
        </w:rPr>
        <w:t xml:space="preserve">, R., </w:t>
      </w:r>
      <w:proofErr w:type="spellStart"/>
      <w:r w:rsidRPr="00A8647C">
        <w:rPr>
          <w:rFonts w:ascii="Times New Roman" w:hAnsi="Times New Roman"/>
          <w:sz w:val="20"/>
          <w:szCs w:val="20"/>
          <w:lang w:val="en-GB"/>
        </w:rPr>
        <w:t>Ozbas</w:t>
      </w:r>
      <w:proofErr w:type="spellEnd"/>
      <w:r w:rsidRPr="00A8647C">
        <w:rPr>
          <w:rFonts w:ascii="Times New Roman" w:hAnsi="Times New Roman"/>
          <w:sz w:val="20"/>
          <w:szCs w:val="20"/>
          <w:lang w:val="en-GB"/>
        </w:rPr>
        <w:t xml:space="preserve">, O and </w:t>
      </w:r>
      <w:proofErr w:type="spellStart"/>
      <w:r w:rsidRPr="00A8647C">
        <w:rPr>
          <w:rFonts w:ascii="Times New Roman" w:hAnsi="Times New Roman"/>
          <w:sz w:val="20"/>
          <w:szCs w:val="20"/>
          <w:lang w:val="en-GB"/>
        </w:rPr>
        <w:t>Sensoy</w:t>
      </w:r>
      <w:proofErr w:type="spellEnd"/>
      <w:r w:rsidRPr="00A8647C">
        <w:rPr>
          <w:rFonts w:ascii="Times New Roman" w:hAnsi="Times New Roman"/>
          <w:sz w:val="20"/>
          <w:szCs w:val="20"/>
          <w:lang w:val="en-GB"/>
        </w:rPr>
        <w:t>, B. A. (2010)</w:t>
      </w:r>
      <w:r w:rsidR="00562432">
        <w:rPr>
          <w:rFonts w:ascii="Times New Roman" w:hAnsi="Times New Roman"/>
          <w:sz w:val="20"/>
          <w:szCs w:val="20"/>
          <w:lang w:val="en-GB"/>
        </w:rPr>
        <w:t>,</w:t>
      </w:r>
      <w:r w:rsidRPr="00A8647C">
        <w:rPr>
          <w:rFonts w:ascii="Times New Roman" w:hAnsi="Times New Roman"/>
          <w:sz w:val="20"/>
          <w:szCs w:val="20"/>
          <w:lang w:val="en-GB"/>
        </w:rPr>
        <w:t xml:space="preserve"> Costly external finance, corporate investment, and the subprime mortgage credit crisis, </w:t>
      </w:r>
      <w:r w:rsidRPr="00A8647C">
        <w:rPr>
          <w:rFonts w:ascii="Times New Roman" w:hAnsi="Times New Roman"/>
          <w:i/>
          <w:sz w:val="20"/>
          <w:szCs w:val="20"/>
          <w:lang w:val="en-GB"/>
        </w:rPr>
        <w:t>Journal of Financial Economics</w:t>
      </w:r>
      <w:r w:rsidRPr="00A8647C">
        <w:rPr>
          <w:rFonts w:ascii="Times New Roman" w:hAnsi="Times New Roman"/>
          <w:sz w:val="20"/>
          <w:szCs w:val="20"/>
          <w:lang w:val="en-GB"/>
        </w:rPr>
        <w:t>, Vol. 97, Issue 3, pp. 418-435</w:t>
      </w:r>
    </w:p>
    <w:p w:rsidR="00A8647C" w:rsidRPr="00A8647C" w:rsidRDefault="00A8647C" w:rsidP="006B4200">
      <w:pPr>
        <w:pStyle w:val="references"/>
        <w:numPr>
          <w:ilvl w:val="0"/>
          <w:numId w:val="0"/>
        </w:numPr>
        <w:spacing w:after="0" w:line="240" w:lineRule="auto"/>
        <w:ind w:left="567" w:hanging="567"/>
        <w:rPr>
          <w:noProof w:val="0"/>
          <w:sz w:val="20"/>
          <w:szCs w:val="20"/>
          <w:lang w:val="en-GB"/>
        </w:rPr>
      </w:pPr>
      <w:proofErr w:type="spellStart"/>
      <w:r w:rsidRPr="00A8647C">
        <w:rPr>
          <w:noProof w:val="0"/>
          <w:sz w:val="20"/>
          <w:szCs w:val="20"/>
          <w:lang w:val="en-GB"/>
        </w:rPr>
        <w:t>Iancu</w:t>
      </w:r>
      <w:proofErr w:type="spellEnd"/>
      <w:r w:rsidRPr="00A8647C">
        <w:rPr>
          <w:noProof w:val="0"/>
          <w:sz w:val="20"/>
          <w:szCs w:val="20"/>
          <w:lang w:val="en-GB"/>
        </w:rPr>
        <w:t>, A. (2010)</w:t>
      </w:r>
      <w:r w:rsidR="00562432">
        <w:rPr>
          <w:noProof w:val="0"/>
          <w:sz w:val="20"/>
          <w:szCs w:val="20"/>
          <w:lang w:val="en-GB"/>
        </w:rPr>
        <w:t>,</w:t>
      </w:r>
      <w:r w:rsidRPr="00A8647C">
        <w:rPr>
          <w:noProof w:val="0"/>
          <w:sz w:val="20"/>
          <w:szCs w:val="20"/>
          <w:lang w:val="en-GB"/>
        </w:rPr>
        <w:t xml:space="preserve"> </w:t>
      </w:r>
      <w:proofErr w:type="spellStart"/>
      <w:r w:rsidRPr="00A8647C">
        <w:rPr>
          <w:i/>
          <w:noProof w:val="0"/>
          <w:sz w:val="20"/>
          <w:szCs w:val="20"/>
          <w:lang w:val="en-GB"/>
        </w:rPr>
        <w:t>Sinteză</w:t>
      </w:r>
      <w:proofErr w:type="spellEnd"/>
      <w:r w:rsidRPr="00A8647C">
        <w:rPr>
          <w:i/>
          <w:noProof w:val="0"/>
          <w:sz w:val="20"/>
          <w:szCs w:val="20"/>
          <w:lang w:val="en-GB"/>
        </w:rPr>
        <w:t xml:space="preserve"> </w:t>
      </w:r>
      <w:proofErr w:type="spellStart"/>
      <w:r w:rsidRPr="00A8647C">
        <w:rPr>
          <w:i/>
          <w:noProof w:val="0"/>
          <w:sz w:val="20"/>
          <w:szCs w:val="20"/>
          <w:lang w:val="en-GB"/>
        </w:rPr>
        <w:t>privind</w:t>
      </w:r>
      <w:proofErr w:type="spellEnd"/>
      <w:r w:rsidRPr="00A8647C">
        <w:rPr>
          <w:i/>
          <w:noProof w:val="0"/>
          <w:sz w:val="20"/>
          <w:szCs w:val="20"/>
          <w:lang w:val="en-GB"/>
        </w:rPr>
        <w:t xml:space="preserve"> </w:t>
      </w:r>
      <w:proofErr w:type="spellStart"/>
      <w:r w:rsidRPr="00A8647C">
        <w:rPr>
          <w:i/>
          <w:noProof w:val="0"/>
          <w:sz w:val="20"/>
          <w:szCs w:val="20"/>
          <w:lang w:val="en-GB"/>
        </w:rPr>
        <w:t>modelarea</w:t>
      </w:r>
      <w:proofErr w:type="spellEnd"/>
      <w:r w:rsidRPr="00A8647C">
        <w:rPr>
          <w:i/>
          <w:noProof w:val="0"/>
          <w:sz w:val="20"/>
          <w:szCs w:val="20"/>
          <w:lang w:val="en-GB"/>
        </w:rPr>
        <w:t xml:space="preserve"> </w:t>
      </w:r>
      <w:proofErr w:type="spellStart"/>
      <w:r w:rsidRPr="00A8647C">
        <w:rPr>
          <w:i/>
          <w:noProof w:val="0"/>
          <w:sz w:val="20"/>
          <w:szCs w:val="20"/>
          <w:lang w:val="en-GB"/>
        </w:rPr>
        <w:t>fragilităţii</w:t>
      </w:r>
      <w:proofErr w:type="spellEnd"/>
      <w:r w:rsidRPr="00A8647C">
        <w:rPr>
          <w:i/>
          <w:noProof w:val="0"/>
          <w:sz w:val="20"/>
          <w:szCs w:val="20"/>
          <w:lang w:val="en-GB"/>
        </w:rPr>
        <w:t xml:space="preserve"> </w:t>
      </w:r>
      <w:proofErr w:type="spellStart"/>
      <w:r w:rsidRPr="00A8647C">
        <w:rPr>
          <w:i/>
          <w:noProof w:val="0"/>
          <w:sz w:val="20"/>
          <w:szCs w:val="20"/>
          <w:lang w:val="en-GB"/>
        </w:rPr>
        <w:t>sistemului</w:t>
      </w:r>
      <w:proofErr w:type="spellEnd"/>
      <w:r w:rsidRPr="00A8647C">
        <w:rPr>
          <w:i/>
          <w:noProof w:val="0"/>
          <w:sz w:val="20"/>
          <w:szCs w:val="20"/>
          <w:lang w:val="en-GB"/>
        </w:rPr>
        <w:t xml:space="preserve"> </w:t>
      </w:r>
      <w:proofErr w:type="spellStart"/>
      <w:r w:rsidRPr="00A8647C">
        <w:rPr>
          <w:i/>
          <w:noProof w:val="0"/>
          <w:sz w:val="20"/>
          <w:szCs w:val="20"/>
          <w:lang w:val="en-GB"/>
        </w:rPr>
        <w:t>financiar</w:t>
      </w:r>
      <w:proofErr w:type="spellEnd"/>
      <w:r w:rsidRPr="00A8647C">
        <w:rPr>
          <w:noProof w:val="0"/>
          <w:sz w:val="20"/>
          <w:szCs w:val="20"/>
          <w:lang w:val="en-GB"/>
        </w:rPr>
        <w:t xml:space="preserve"> [</w:t>
      </w:r>
      <w:r w:rsidRPr="00A8647C">
        <w:rPr>
          <w:rStyle w:val="hps"/>
          <w:noProof w:val="0"/>
          <w:sz w:val="20"/>
          <w:szCs w:val="20"/>
          <w:lang w:val="en-GB"/>
        </w:rPr>
        <w:t>Overview of modelling financial system fragility</w:t>
      </w:r>
      <w:r w:rsidRPr="00A8647C">
        <w:rPr>
          <w:noProof w:val="0"/>
          <w:sz w:val="20"/>
          <w:szCs w:val="20"/>
          <w:lang w:val="en-GB"/>
        </w:rPr>
        <w:t xml:space="preserve">]. Romanian Society for Economic Science, </w:t>
      </w:r>
      <w:r w:rsidRPr="00A8647C">
        <w:rPr>
          <w:i/>
          <w:noProof w:val="0"/>
          <w:sz w:val="20"/>
          <w:szCs w:val="20"/>
          <w:lang w:val="en-GB"/>
        </w:rPr>
        <w:t xml:space="preserve">Review </w:t>
      </w:r>
      <w:proofErr w:type="spellStart"/>
      <w:r w:rsidRPr="00A8647C">
        <w:rPr>
          <w:i/>
          <w:noProof w:val="0"/>
          <w:sz w:val="20"/>
          <w:szCs w:val="20"/>
          <w:lang w:val="en-GB"/>
        </w:rPr>
        <w:t>OEconomica</w:t>
      </w:r>
      <w:proofErr w:type="spellEnd"/>
      <w:r w:rsidRPr="00A8647C">
        <w:rPr>
          <w:noProof w:val="0"/>
          <w:sz w:val="20"/>
          <w:szCs w:val="20"/>
          <w:lang w:val="en-GB"/>
        </w:rPr>
        <w:t>, Vol. 3 (September 2010), pp. 161-168</w:t>
      </w:r>
    </w:p>
    <w:p w:rsidR="00A8647C" w:rsidRPr="00A8647C" w:rsidRDefault="00A8647C" w:rsidP="006B4200">
      <w:pPr>
        <w:pStyle w:val="references"/>
        <w:numPr>
          <w:ilvl w:val="0"/>
          <w:numId w:val="0"/>
        </w:numPr>
        <w:spacing w:after="0" w:line="240" w:lineRule="auto"/>
        <w:ind w:left="567" w:hanging="567"/>
        <w:rPr>
          <w:noProof w:val="0"/>
          <w:sz w:val="20"/>
          <w:szCs w:val="20"/>
          <w:lang w:val="en-GB"/>
        </w:rPr>
      </w:pPr>
      <w:proofErr w:type="spellStart"/>
      <w:r w:rsidRPr="00A8647C">
        <w:rPr>
          <w:noProof w:val="0"/>
          <w:sz w:val="20"/>
          <w:szCs w:val="20"/>
          <w:lang w:val="en-GB"/>
        </w:rPr>
        <w:t>Sen</w:t>
      </w:r>
      <w:proofErr w:type="spellEnd"/>
      <w:r w:rsidRPr="00A8647C">
        <w:rPr>
          <w:noProof w:val="0"/>
          <w:sz w:val="20"/>
          <w:szCs w:val="20"/>
          <w:lang w:val="en-GB"/>
        </w:rPr>
        <w:t>, A. (2010)</w:t>
      </w:r>
      <w:r w:rsidR="00562432">
        <w:rPr>
          <w:noProof w:val="0"/>
          <w:sz w:val="20"/>
          <w:szCs w:val="20"/>
          <w:lang w:val="en-GB"/>
        </w:rPr>
        <w:t>,</w:t>
      </w:r>
      <w:r w:rsidRPr="00A8647C">
        <w:rPr>
          <w:noProof w:val="0"/>
          <w:sz w:val="20"/>
          <w:szCs w:val="20"/>
          <w:lang w:val="en-GB"/>
        </w:rPr>
        <w:t xml:space="preserve"> A without Debt and Strong Financial Structure</w:t>
      </w:r>
      <w:r w:rsidR="00562432">
        <w:rPr>
          <w:noProof w:val="0"/>
          <w:sz w:val="20"/>
          <w:szCs w:val="20"/>
          <w:lang w:val="en-GB"/>
        </w:rPr>
        <w:t>,</w:t>
      </w:r>
      <w:r w:rsidRPr="00A8647C">
        <w:rPr>
          <w:noProof w:val="0"/>
          <w:sz w:val="20"/>
          <w:szCs w:val="20"/>
          <w:lang w:val="en-GB"/>
        </w:rPr>
        <w:t xml:space="preserve"> </w:t>
      </w:r>
      <w:r w:rsidRPr="00A8647C">
        <w:rPr>
          <w:i/>
          <w:noProof w:val="0"/>
          <w:sz w:val="20"/>
          <w:szCs w:val="20"/>
          <w:lang w:val="en-GB"/>
        </w:rPr>
        <w:t>International Research Journal of Finance and Economics</w:t>
      </w:r>
      <w:r w:rsidRPr="00A8647C">
        <w:rPr>
          <w:noProof w:val="0"/>
          <w:sz w:val="20"/>
          <w:szCs w:val="20"/>
          <w:lang w:val="en-GB"/>
        </w:rPr>
        <w:t>, Issue 59, pp. 77-85</w:t>
      </w:r>
    </w:p>
    <w:p w:rsidR="00A8647C" w:rsidRPr="00A8647C" w:rsidRDefault="00A8647C" w:rsidP="006B4200">
      <w:pPr>
        <w:pStyle w:val="ListParagraph"/>
        <w:spacing w:after="0" w:line="240" w:lineRule="auto"/>
        <w:ind w:left="567" w:hanging="567"/>
        <w:jc w:val="both"/>
        <w:rPr>
          <w:rFonts w:ascii="Times New Roman" w:hAnsi="Times New Roman"/>
          <w:color w:val="FF0000"/>
          <w:sz w:val="20"/>
        </w:rPr>
      </w:pPr>
    </w:p>
    <w:sectPr w:rsidR="00A8647C" w:rsidRPr="00A8647C" w:rsidSect="00064D40">
      <w:pgSz w:w="10319" w:h="14571" w:code="13"/>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21" w:rsidRDefault="007F3F21" w:rsidP="00513B27">
      <w:pPr>
        <w:spacing w:after="0" w:line="240" w:lineRule="auto"/>
      </w:pPr>
      <w:r>
        <w:separator/>
      </w:r>
    </w:p>
  </w:endnote>
  <w:endnote w:type="continuationSeparator" w:id="0">
    <w:p w:rsidR="007F3F21" w:rsidRDefault="007F3F21" w:rsidP="0051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21" w:rsidRDefault="007F3F21" w:rsidP="00513B27">
      <w:pPr>
        <w:spacing w:after="0" w:line="240" w:lineRule="auto"/>
      </w:pPr>
      <w:r>
        <w:separator/>
      </w:r>
    </w:p>
  </w:footnote>
  <w:footnote w:type="continuationSeparator" w:id="0">
    <w:p w:rsidR="007F3F21" w:rsidRDefault="007F3F21" w:rsidP="00513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7AF3"/>
    <w:multiLevelType w:val="hybridMultilevel"/>
    <w:tmpl w:val="B628BC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7A675D"/>
    <w:multiLevelType w:val="hybridMultilevel"/>
    <w:tmpl w:val="86D043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C0F2AEE"/>
    <w:multiLevelType w:val="hybridMultilevel"/>
    <w:tmpl w:val="C2C82C8A"/>
    <w:lvl w:ilvl="0" w:tplc="D414C27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E4C7F2F"/>
    <w:multiLevelType w:val="hybridMultilevel"/>
    <w:tmpl w:val="09F8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01D7C"/>
    <w:multiLevelType w:val="hybridMultilevel"/>
    <w:tmpl w:val="D23CF268"/>
    <w:lvl w:ilvl="0" w:tplc="0DE8B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814DA"/>
    <w:multiLevelType w:val="multilevel"/>
    <w:tmpl w:val="B07E724A"/>
    <w:lvl w:ilvl="0">
      <w:start w:val="1"/>
      <w:numFmt w:val="decimal"/>
      <w:pStyle w:val="Heading1"/>
      <w:lvlText w:val="%1"/>
      <w:lvlJc w:val="left"/>
      <w:pPr>
        <w:tabs>
          <w:tab w:val="num" w:pos="432"/>
        </w:tabs>
        <w:ind w:left="432" w:hanging="432"/>
      </w:pPr>
      <w:rPr>
        <w:color w:val="auto"/>
      </w:rPr>
    </w:lvl>
    <w:lvl w:ilvl="1">
      <w:start w:val="1"/>
      <w:numFmt w:val="decimal"/>
      <w:pStyle w:val="Heading2"/>
      <w:lvlText w:val="%1.%2"/>
      <w:lvlJc w:val="left"/>
      <w:pPr>
        <w:tabs>
          <w:tab w:val="num" w:pos="576"/>
        </w:tabs>
        <w:ind w:left="576" w:hanging="576"/>
      </w:pPr>
      <w:rPr>
        <w:color w:val="auto"/>
        <w:lang w:val="en-GB"/>
      </w:r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400A0E13"/>
    <w:multiLevelType w:val="hybridMultilevel"/>
    <w:tmpl w:val="4032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E200B22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8">
    <w:nsid w:val="5E7F0854"/>
    <w:multiLevelType w:val="hybridMultilevel"/>
    <w:tmpl w:val="BA0E432C"/>
    <w:lvl w:ilvl="0" w:tplc="0FA217C8">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EB539E9"/>
    <w:multiLevelType w:val="hybridMultilevel"/>
    <w:tmpl w:val="C3680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1"/>
  </w:num>
  <w:num w:numId="5">
    <w:abstractNumId w:val="8"/>
  </w:num>
  <w:num w:numId="6">
    <w:abstractNumId w:val="7"/>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7B"/>
    <w:rsid w:val="00000543"/>
    <w:rsid w:val="00006089"/>
    <w:rsid w:val="00021F4B"/>
    <w:rsid w:val="00025623"/>
    <w:rsid w:val="00037885"/>
    <w:rsid w:val="00064D40"/>
    <w:rsid w:val="00077774"/>
    <w:rsid w:val="00080AB1"/>
    <w:rsid w:val="0009392E"/>
    <w:rsid w:val="000B5C76"/>
    <w:rsid w:val="000E04F2"/>
    <w:rsid w:val="00124FAA"/>
    <w:rsid w:val="00142CEB"/>
    <w:rsid w:val="0015694E"/>
    <w:rsid w:val="00175CA2"/>
    <w:rsid w:val="00177F87"/>
    <w:rsid w:val="001B0AE1"/>
    <w:rsid w:val="001D4791"/>
    <w:rsid w:val="001E4395"/>
    <w:rsid w:val="001F243B"/>
    <w:rsid w:val="001F595A"/>
    <w:rsid w:val="001F733B"/>
    <w:rsid w:val="00214C21"/>
    <w:rsid w:val="00233038"/>
    <w:rsid w:val="002365A1"/>
    <w:rsid w:val="002365F5"/>
    <w:rsid w:val="0023661C"/>
    <w:rsid w:val="00236D50"/>
    <w:rsid w:val="0028614A"/>
    <w:rsid w:val="00290CFF"/>
    <w:rsid w:val="002A647A"/>
    <w:rsid w:val="002A6988"/>
    <w:rsid w:val="002E54B1"/>
    <w:rsid w:val="002F5CBF"/>
    <w:rsid w:val="00304007"/>
    <w:rsid w:val="00347364"/>
    <w:rsid w:val="00380FB7"/>
    <w:rsid w:val="003B56F0"/>
    <w:rsid w:val="003B6A29"/>
    <w:rsid w:val="003E7736"/>
    <w:rsid w:val="00426526"/>
    <w:rsid w:val="00434B73"/>
    <w:rsid w:val="00474D1F"/>
    <w:rsid w:val="004F0132"/>
    <w:rsid w:val="004F4586"/>
    <w:rsid w:val="00505E50"/>
    <w:rsid w:val="005072E2"/>
    <w:rsid w:val="00513B27"/>
    <w:rsid w:val="00522E9C"/>
    <w:rsid w:val="0055465E"/>
    <w:rsid w:val="00562432"/>
    <w:rsid w:val="00562F8C"/>
    <w:rsid w:val="0057355D"/>
    <w:rsid w:val="00590C55"/>
    <w:rsid w:val="005B583D"/>
    <w:rsid w:val="005C5055"/>
    <w:rsid w:val="005C6CE7"/>
    <w:rsid w:val="005C73FC"/>
    <w:rsid w:val="005E72E6"/>
    <w:rsid w:val="005E7595"/>
    <w:rsid w:val="00604D2B"/>
    <w:rsid w:val="0065081A"/>
    <w:rsid w:val="00683FD6"/>
    <w:rsid w:val="00692F10"/>
    <w:rsid w:val="006B3721"/>
    <w:rsid w:val="006B4200"/>
    <w:rsid w:val="00716942"/>
    <w:rsid w:val="00725C16"/>
    <w:rsid w:val="00741D43"/>
    <w:rsid w:val="007666AF"/>
    <w:rsid w:val="007841D0"/>
    <w:rsid w:val="00787B97"/>
    <w:rsid w:val="007A0916"/>
    <w:rsid w:val="007B6FA2"/>
    <w:rsid w:val="007E7BEE"/>
    <w:rsid w:val="007F3F21"/>
    <w:rsid w:val="00812A04"/>
    <w:rsid w:val="00823BBF"/>
    <w:rsid w:val="008908CE"/>
    <w:rsid w:val="008973AA"/>
    <w:rsid w:val="008B027B"/>
    <w:rsid w:val="008C772E"/>
    <w:rsid w:val="008C7F7F"/>
    <w:rsid w:val="009214AA"/>
    <w:rsid w:val="009707B0"/>
    <w:rsid w:val="009E03CD"/>
    <w:rsid w:val="009F1F12"/>
    <w:rsid w:val="00A03917"/>
    <w:rsid w:val="00A15675"/>
    <w:rsid w:val="00A164B0"/>
    <w:rsid w:val="00A27B1D"/>
    <w:rsid w:val="00A34CA3"/>
    <w:rsid w:val="00A42D45"/>
    <w:rsid w:val="00A46B1D"/>
    <w:rsid w:val="00A524FF"/>
    <w:rsid w:val="00A631D3"/>
    <w:rsid w:val="00A8647C"/>
    <w:rsid w:val="00A91372"/>
    <w:rsid w:val="00AA69CF"/>
    <w:rsid w:val="00AE64DD"/>
    <w:rsid w:val="00B63E10"/>
    <w:rsid w:val="00B822C7"/>
    <w:rsid w:val="00BB7C55"/>
    <w:rsid w:val="00BB7E3B"/>
    <w:rsid w:val="00C530AD"/>
    <w:rsid w:val="00C87E05"/>
    <w:rsid w:val="00CA4CD4"/>
    <w:rsid w:val="00CB7A9D"/>
    <w:rsid w:val="00CE383C"/>
    <w:rsid w:val="00D071F9"/>
    <w:rsid w:val="00D15667"/>
    <w:rsid w:val="00D27390"/>
    <w:rsid w:val="00D5781A"/>
    <w:rsid w:val="00D73030"/>
    <w:rsid w:val="00D82B73"/>
    <w:rsid w:val="00DD05DC"/>
    <w:rsid w:val="00E002CC"/>
    <w:rsid w:val="00E131C9"/>
    <w:rsid w:val="00E844AC"/>
    <w:rsid w:val="00F420F3"/>
    <w:rsid w:val="00F6726A"/>
    <w:rsid w:val="00FB5905"/>
    <w:rsid w:val="00FC6B0F"/>
    <w:rsid w:val="00FD4386"/>
    <w:rsid w:val="00FF0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A9D"/>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locked/>
    <w:rsid w:val="002A647A"/>
    <w:pPr>
      <w:keepNext/>
      <w:numPr>
        <w:numId w:val="7"/>
      </w:numPr>
      <w:spacing w:before="240" w:after="240" w:line="240" w:lineRule="auto"/>
      <w:ind w:left="425" w:hanging="425"/>
      <w:outlineLvl w:val="0"/>
    </w:pPr>
    <w:rPr>
      <w:rFonts w:ascii="Times New Roman" w:hAnsi="Times New Roman"/>
      <w:caps/>
      <w:sz w:val="24"/>
      <w:szCs w:val="20"/>
      <w:lang w:val="fr-FR"/>
    </w:rPr>
  </w:style>
  <w:style w:type="paragraph" w:styleId="Heading2">
    <w:name w:val="heading 2"/>
    <w:basedOn w:val="Normal"/>
    <w:next w:val="Normal"/>
    <w:link w:val="Heading2Char"/>
    <w:qFormat/>
    <w:locked/>
    <w:rsid w:val="002A647A"/>
    <w:pPr>
      <w:keepNext/>
      <w:widowControl w:val="0"/>
      <w:numPr>
        <w:ilvl w:val="1"/>
        <w:numId w:val="7"/>
      </w:numPr>
      <w:spacing w:before="240" w:after="120" w:line="312" w:lineRule="atLeast"/>
      <w:ind w:left="578" w:hanging="578"/>
      <w:outlineLvl w:val="1"/>
    </w:pPr>
    <w:rPr>
      <w:rFonts w:ascii="Times New Roman" w:hAnsi="Times New Roman"/>
      <w:i/>
      <w:sz w:val="24"/>
      <w:szCs w:val="24"/>
    </w:rPr>
  </w:style>
  <w:style w:type="paragraph" w:styleId="Heading3">
    <w:name w:val="heading 3"/>
    <w:basedOn w:val="Normal"/>
    <w:next w:val="Normal"/>
    <w:link w:val="Heading3Char"/>
    <w:qFormat/>
    <w:locked/>
    <w:rsid w:val="002A647A"/>
    <w:pPr>
      <w:keepNext/>
      <w:numPr>
        <w:ilvl w:val="2"/>
        <w:numId w:val="7"/>
      </w:numPr>
      <w:spacing w:before="240" w:after="120" w:line="240" w:lineRule="auto"/>
      <w:outlineLvl w:val="2"/>
    </w:pPr>
    <w:rPr>
      <w:rFonts w:ascii="Times New Roman" w:hAnsi="Times New Roman"/>
      <w:lang w:val="fr-FR"/>
    </w:rPr>
  </w:style>
  <w:style w:type="paragraph" w:styleId="Heading4">
    <w:name w:val="heading 4"/>
    <w:basedOn w:val="Normal"/>
    <w:next w:val="Normal"/>
    <w:link w:val="Heading4Char"/>
    <w:qFormat/>
    <w:locked/>
    <w:rsid w:val="002A647A"/>
    <w:pPr>
      <w:keepNext/>
      <w:numPr>
        <w:ilvl w:val="3"/>
        <w:numId w:val="7"/>
      </w:numPr>
      <w:spacing w:before="240" w:after="60" w:line="240" w:lineRule="auto"/>
      <w:jc w:val="both"/>
      <w:outlineLvl w:val="3"/>
    </w:pPr>
    <w:rPr>
      <w:rFonts w:ascii="Times New Roman" w:hAnsi="Times New Roman"/>
      <w:b/>
      <w:sz w:val="20"/>
      <w:szCs w:val="20"/>
      <w:lang w:val="fr-FR"/>
    </w:rPr>
  </w:style>
  <w:style w:type="paragraph" w:styleId="Heading5">
    <w:name w:val="heading 5"/>
    <w:basedOn w:val="Normal"/>
    <w:next w:val="Normal"/>
    <w:link w:val="Heading5Char"/>
    <w:qFormat/>
    <w:locked/>
    <w:rsid w:val="002A647A"/>
    <w:pPr>
      <w:numPr>
        <w:ilvl w:val="4"/>
        <w:numId w:val="7"/>
      </w:numPr>
      <w:spacing w:before="240" w:after="60" w:line="240" w:lineRule="auto"/>
      <w:jc w:val="both"/>
      <w:outlineLvl w:val="4"/>
    </w:pPr>
    <w:rPr>
      <w:rFonts w:ascii="Times New Roman" w:hAnsi="Times New Roman"/>
      <w:b/>
      <w:sz w:val="20"/>
      <w:szCs w:val="20"/>
      <w:lang w:val="fr-FR"/>
    </w:rPr>
  </w:style>
  <w:style w:type="paragraph" w:styleId="Heading6">
    <w:name w:val="heading 6"/>
    <w:basedOn w:val="Normal"/>
    <w:next w:val="Normal"/>
    <w:link w:val="Heading6Char"/>
    <w:qFormat/>
    <w:locked/>
    <w:rsid w:val="002A647A"/>
    <w:pPr>
      <w:numPr>
        <w:ilvl w:val="5"/>
        <w:numId w:val="7"/>
      </w:numPr>
      <w:spacing w:before="240" w:after="60" w:line="240" w:lineRule="auto"/>
      <w:jc w:val="both"/>
      <w:outlineLvl w:val="5"/>
    </w:pPr>
    <w:rPr>
      <w:rFonts w:ascii="Times New Roman" w:hAnsi="Times New Roman"/>
      <w:b/>
      <w:sz w:val="20"/>
      <w:szCs w:val="20"/>
      <w:lang w:val="fr-FR"/>
    </w:rPr>
  </w:style>
  <w:style w:type="paragraph" w:styleId="Heading7">
    <w:name w:val="heading 7"/>
    <w:basedOn w:val="Normal"/>
    <w:next w:val="Normal"/>
    <w:link w:val="Heading7Char"/>
    <w:qFormat/>
    <w:locked/>
    <w:rsid w:val="002A647A"/>
    <w:pPr>
      <w:keepNext/>
      <w:widowControl w:val="0"/>
      <w:numPr>
        <w:ilvl w:val="6"/>
        <w:numId w:val="7"/>
      </w:numPr>
      <w:spacing w:after="0" w:line="312" w:lineRule="atLeast"/>
      <w:jc w:val="center"/>
      <w:outlineLvl w:val="6"/>
    </w:pPr>
    <w:rPr>
      <w:rFonts w:ascii="Times New Roman" w:hAnsi="Times New Roman"/>
      <w:b/>
      <w:sz w:val="20"/>
      <w:szCs w:val="20"/>
    </w:rPr>
  </w:style>
  <w:style w:type="paragraph" w:styleId="Heading8">
    <w:name w:val="heading 8"/>
    <w:basedOn w:val="Normal"/>
    <w:next w:val="Normal"/>
    <w:link w:val="Heading8Char"/>
    <w:qFormat/>
    <w:locked/>
    <w:rsid w:val="002A647A"/>
    <w:pPr>
      <w:keepNext/>
      <w:widowControl w:val="0"/>
      <w:numPr>
        <w:ilvl w:val="7"/>
        <w:numId w:val="7"/>
      </w:numPr>
      <w:spacing w:after="0" w:line="312" w:lineRule="atLeast"/>
      <w:jc w:val="center"/>
      <w:outlineLvl w:val="7"/>
    </w:pPr>
    <w:rPr>
      <w:rFonts w:ascii="Times New Roman" w:hAnsi="Times New Roman"/>
      <w:b/>
      <w:sz w:val="20"/>
      <w:szCs w:val="20"/>
    </w:rPr>
  </w:style>
  <w:style w:type="paragraph" w:styleId="Heading9">
    <w:name w:val="heading 9"/>
    <w:basedOn w:val="Normal"/>
    <w:next w:val="Normal"/>
    <w:link w:val="Heading9Char"/>
    <w:qFormat/>
    <w:locked/>
    <w:rsid w:val="002A647A"/>
    <w:pPr>
      <w:numPr>
        <w:ilvl w:val="8"/>
        <w:numId w:val="7"/>
      </w:numPr>
      <w:spacing w:before="240" w:after="60" w:line="240" w:lineRule="auto"/>
      <w:jc w:val="both"/>
      <w:outlineLvl w:val="8"/>
    </w:pPr>
    <w:rPr>
      <w:rFonts w:ascii="Arial" w:hAnsi="Arial"/>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E2"/>
    <w:pPr>
      <w:ind w:left="720"/>
    </w:pPr>
  </w:style>
  <w:style w:type="paragraph" w:styleId="FootnoteText">
    <w:name w:val="footnote text"/>
    <w:basedOn w:val="Normal"/>
    <w:link w:val="FootnoteTextChar"/>
    <w:semiHidden/>
    <w:rsid w:val="00513B27"/>
    <w:pPr>
      <w:spacing w:after="0" w:line="240" w:lineRule="auto"/>
    </w:pPr>
    <w:rPr>
      <w:sz w:val="20"/>
      <w:szCs w:val="20"/>
    </w:rPr>
  </w:style>
  <w:style w:type="character" w:customStyle="1" w:styleId="FootnoteTextChar">
    <w:name w:val="Footnote Text Char"/>
    <w:link w:val="FootnoteText"/>
    <w:semiHidden/>
    <w:locked/>
    <w:rsid w:val="00513B27"/>
    <w:rPr>
      <w:rFonts w:cs="Times New Roman"/>
      <w:sz w:val="20"/>
      <w:szCs w:val="20"/>
    </w:rPr>
  </w:style>
  <w:style w:type="character" w:styleId="FootnoteReference">
    <w:name w:val="footnote reference"/>
    <w:semiHidden/>
    <w:rsid w:val="00513B27"/>
    <w:rPr>
      <w:rFonts w:cs="Times New Roman"/>
      <w:vertAlign w:val="superscript"/>
    </w:rPr>
  </w:style>
  <w:style w:type="paragraph" w:styleId="EndnoteText">
    <w:name w:val="endnote text"/>
    <w:basedOn w:val="Normal"/>
    <w:link w:val="EndnoteTextChar"/>
    <w:semiHidden/>
    <w:rsid w:val="008C772E"/>
    <w:pPr>
      <w:spacing w:after="0" w:line="240" w:lineRule="auto"/>
    </w:pPr>
    <w:rPr>
      <w:sz w:val="20"/>
      <w:szCs w:val="20"/>
    </w:rPr>
  </w:style>
  <w:style w:type="character" w:customStyle="1" w:styleId="EndnoteTextChar">
    <w:name w:val="Endnote Text Char"/>
    <w:link w:val="EndnoteText"/>
    <w:semiHidden/>
    <w:locked/>
    <w:rsid w:val="008C772E"/>
    <w:rPr>
      <w:rFonts w:cs="Times New Roman"/>
      <w:sz w:val="20"/>
      <w:szCs w:val="20"/>
    </w:rPr>
  </w:style>
  <w:style w:type="character" w:styleId="EndnoteReference">
    <w:name w:val="endnote reference"/>
    <w:semiHidden/>
    <w:rsid w:val="008C772E"/>
    <w:rPr>
      <w:rFonts w:cs="Times New Roman"/>
      <w:vertAlign w:val="superscript"/>
    </w:rPr>
  </w:style>
  <w:style w:type="table" w:styleId="TableGrid">
    <w:name w:val="Table Grid"/>
    <w:basedOn w:val="TableNormal"/>
    <w:rsid w:val="008C7F7F"/>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8C7F7F"/>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7F7F"/>
    <w:rPr>
      <w:rFonts w:ascii="Tahoma" w:hAnsi="Tahoma" w:cs="Tahoma"/>
      <w:sz w:val="16"/>
      <w:szCs w:val="16"/>
    </w:rPr>
  </w:style>
  <w:style w:type="character" w:styleId="Hyperlink">
    <w:name w:val="Hyperlink"/>
    <w:rsid w:val="009214AA"/>
    <w:rPr>
      <w:rFonts w:cs="Times New Roman"/>
      <w:color w:val="0000FF"/>
      <w:u w:val="single"/>
    </w:rPr>
  </w:style>
  <w:style w:type="paragraph" w:styleId="Title">
    <w:name w:val="Title"/>
    <w:basedOn w:val="Normal"/>
    <w:link w:val="TitleChar"/>
    <w:qFormat/>
    <w:locked/>
    <w:rsid w:val="00A27B1D"/>
    <w:pPr>
      <w:spacing w:after="0" w:line="240" w:lineRule="auto"/>
      <w:jc w:val="center"/>
    </w:pPr>
    <w:rPr>
      <w:rFonts w:ascii="Times New Roman" w:hAnsi="Times New Roman"/>
      <w:b/>
      <w:bCs/>
      <w:sz w:val="24"/>
      <w:szCs w:val="24"/>
      <w:lang w:val="ro-RO"/>
    </w:rPr>
  </w:style>
  <w:style w:type="character" w:customStyle="1" w:styleId="TitleChar">
    <w:name w:val="Title Char"/>
    <w:link w:val="Title"/>
    <w:rsid w:val="00A27B1D"/>
    <w:rPr>
      <w:rFonts w:ascii="Times New Roman" w:eastAsia="Times New Roman" w:hAnsi="Times New Roman"/>
      <w:b/>
      <w:bCs/>
      <w:sz w:val="24"/>
      <w:szCs w:val="24"/>
      <w:lang w:eastAsia="en-US"/>
    </w:rPr>
  </w:style>
  <w:style w:type="character" w:customStyle="1" w:styleId="hps">
    <w:name w:val="hps"/>
    <w:rsid w:val="004F0132"/>
  </w:style>
  <w:style w:type="character" w:customStyle="1" w:styleId="gi">
    <w:name w:val="gi"/>
    <w:rsid w:val="004F0132"/>
  </w:style>
  <w:style w:type="character" w:customStyle="1" w:styleId="Heading1Char">
    <w:name w:val="Heading 1 Char"/>
    <w:link w:val="Heading1"/>
    <w:rsid w:val="002A647A"/>
    <w:rPr>
      <w:rFonts w:ascii="Times New Roman" w:eastAsia="Times New Roman" w:hAnsi="Times New Roman"/>
      <w:caps/>
      <w:sz w:val="24"/>
      <w:lang w:val="fr-FR"/>
    </w:rPr>
  </w:style>
  <w:style w:type="character" w:customStyle="1" w:styleId="Heading2Char">
    <w:name w:val="Heading 2 Char"/>
    <w:link w:val="Heading2"/>
    <w:rsid w:val="002A647A"/>
    <w:rPr>
      <w:rFonts w:ascii="Times New Roman" w:eastAsia="Times New Roman" w:hAnsi="Times New Roman"/>
      <w:i/>
      <w:sz w:val="24"/>
      <w:szCs w:val="24"/>
    </w:rPr>
  </w:style>
  <w:style w:type="character" w:customStyle="1" w:styleId="Heading3Char">
    <w:name w:val="Heading 3 Char"/>
    <w:link w:val="Heading3"/>
    <w:rsid w:val="002A647A"/>
    <w:rPr>
      <w:rFonts w:ascii="Times New Roman" w:eastAsia="Times New Roman" w:hAnsi="Times New Roman"/>
      <w:sz w:val="22"/>
      <w:szCs w:val="22"/>
      <w:lang w:val="fr-FR"/>
    </w:rPr>
  </w:style>
  <w:style w:type="character" w:customStyle="1" w:styleId="Heading4Char">
    <w:name w:val="Heading 4 Char"/>
    <w:link w:val="Heading4"/>
    <w:rsid w:val="002A647A"/>
    <w:rPr>
      <w:rFonts w:ascii="Times New Roman" w:eastAsia="Times New Roman" w:hAnsi="Times New Roman"/>
      <w:b/>
      <w:lang w:val="fr-FR"/>
    </w:rPr>
  </w:style>
  <w:style w:type="character" w:customStyle="1" w:styleId="Heading5Char">
    <w:name w:val="Heading 5 Char"/>
    <w:link w:val="Heading5"/>
    <w:rsid w:val="002A647A"/>
    <w:rPr>
      <w:rFonts w:ascii="Times New Roman" w:eastAsia="Times New Roman" w:hAnsi="Times New Roman"/>
      <w:b/>
      <w:lang w:val="fr-FR"/>
    </w:rPr>
  </w:style>
  <w:style w:type="character" w:customStyle="1" w:styleId="Heading6Char">
    <w:name w:val="Heading 6 Char"/>
    <w:link w:val="Heading6"/>
    <w:rsid w:val="002A647A"/>
    <w:rPr>
      <w:rFonts w:ascii="Times New Roman" w:eastAsia="Times New Roman" w:hAnsi="Times New Roman"/>
      <w:b/>
      <w:lang w:val="fr-FR"/>
    </w:rPr>
  </w:style>
  <w:style w:type="character" w:customStyle="1" w:styleId="Heading7Char">
    <w:name w:val="Heading 7 Char"/>
    <w:link w:val="Heading7"/>
    <w:rsid w:val="002A647A"/>
    <w:rPr>
      <w:rFonts w:ascii="Times New Roman" w:eastAsia="Times New Roman" w:hAnsi="Times New Roman"/>
      <w:b/>
    </w:rPr>
  </w:style>
  <w:style w:type="character" w:customStyle="1" w:styleId="Heading8Char">
    <w:name w:val="Heading 8 Char"/>
    <w:link w:val="Heading8"/>
    <w:rsid w:val="002A647A"/>
    <w:rPr>
      <w:rFonts w:ascii="Times New Roman" w:eastAsia="Times New Roman" w:hAnsi="Times New Roman"/>
      <w:b/>
    </w:rPr>
  </w:style>
  <w:style w:type="character" w:customStyle="1" w:styleId="Heading9Char">
    <w:name w:val="Heading 9 Char"/>
    <w:link w:val="Heading9"/>
    <w:rsid w:val="002A647A"/>
    <w:rPr>
      <w:rFonts w:ascii="Arial" w:eastAsia="Times New Roman" w:hAnsi="Arial"/>
      <w:sz w:val="22"/>
      <w:lang w:val="fr-FR"/>
    </w:rPr>
  </w:style>
  <w:style w:type="paragraph" w:customStyle="1" w:styleId="references">
    <w:name w:val="references"/>
    <w:rsid w:val="002A647A"/>
    <w:pPr>
      <w:numPr>
        <w:numId w:val="6"/>
      </w:numPr>
      <w:spacing w:after="50" w:line="180" w:lineRule="exact"/>
      <w:jc w:val="both"/>
    </w:pPr>
    <w:rPr>
      <w:rFonts w:ascii="Times New Roman" w:eastAsia="MS Mincho" w:hAnsi="Times New Roman"/>
      <w:noProof/>
      <w:sz w:val="16"/>
      <w:szCs w:val="16"/>
      <w:lang w:val="en-US" w:eastAsia="en-US"/>
    </w:rPr>
  </w:style>
  <w:style w:type="character" w:customStyle="1" w:styleId="hpsatn">
    <w:name w:val="hps atn"/>
    <w:rsid w:val="002A647A"/>
  </w:style>
  <w:style w:type="paragraph" w:customStyle="1" w:styleId="Listareferinte">
    <w:name w:val="Lista referinte"/>
    <w:basedOn w:val="BodyText"/>
    <w:rsid w:val="00A34CA3"/>
    <w:pPr>
      <w:tabs>
        <w:tab w:val="left" w:pos="432"/>
        <w:tab w:val="left" w:pos="864"/>
      </w:tabs>
      <w:spacing w:before="60" w:after="60" w:line="240" w:lineRule="auto"/>
      <w:ind w:left="284" w:right="28" w:hanging="284"/>
      <w:jc w:val="both"/>
    </w:pPr>
    <w:rPr>
      <w:rFonts w:ascii="Times New Roman" w:hAnsi="Times New Roman"/>
      <w:sz w:val="20"/>
    </w:rPr>
  </w:style>
  <w:style w:type="paragraph" w:styleId="BodyText">
    <w:name w:val="Body Text"/>
    <w:basedOn w:val="Normal"/>
    <w:link w:val="BodyTextChar"/>
    <w:rsid w:val="00A34CA3"/>
    <w:pPr>
      <w:spacing w:after="120"/>
    </w:pPr>
  </w:style>
  <w:style w:type="character" w:customStyle="1" w:styleId="BodyTextChar">
    <w:name w:val="Body Text Char"/>
    <w:link w:val="BodyText"/>
    <w:rsid w:val="00A34CA3"/>
    <w:rPr>
      <w:rFonts w:eastAsia="Times New Roman"/>
      <w:sz w:val="22"/>
      <w:szCs w:val="22"/>
    </w:rPr>
  </w:style>
  <w:style w:type="character" w:customStyle="1" w:styleId="a">
    <w:name w:val="a"/>
    <w:rsid w:val="00A8647C"/>
  </w:style>
  <w:style w:type="character" w:customStyle="1" w:styleId="st">
    <w:name w:val="st"/>
    <w:rsid w:val="00A8647C"/>
  </w:style>
  <w:style w:type="character" w:customStyle="1" w:styleId="searchword">
    <w:name w:val="searchword"/>
    <w:rsid w:val="00A8647C"/>
  </w:style>
  <w:style w:type="character" w:customStyle="1" w:styleId="shorttext">
    <w:name w:val="short_text"/>
    <w:basedOn w:val="DefaultParagraphFont"/>
    <w:rsid w:val="00290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A9D"/>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locked/>
    <w:rsid w:val="002A647A"/>
    <w:pPr>
      <w:keepNext/>
      <w:numPr>
        <w:numId w:val="7"/>
      </w:numPr>
      <w:spacing w:before="240" w:after="240" w:line="240" w:lineRule="auto"/>
      <w:ind w:left="425" w:hanging="425"/>
      <w:outlineLvl w:val="0"/>
    </w:pPr>
    <w:rPr>
      <w:rFonts w:ascii="Times New Roman" w:hAnsi="Times New Roman"/>
      <w:caps/>
      <w:sz w:val="24"/>
      <w:szCs w:val="20"/>
      <w:lang w:val="fr-FR"/>
    </w:rPr>
  </w:style>
  <w:style w:type="paragraph" w:styleId="Heading2">
    <w:name w:val="heading 2"/>
    <w:basedOn w:val="Normal"/>
    <w:next w:val="Normal"/>
    <w:link w:val="Heading2Char"/>
    <w:qFormat/>
    <w:locked/>
    <w:rsid w:val="002A647A"/>
    <w:pPr>
      <w:keepNext/>
      <w:widowControl w:val="0"/>
      <w:numPr>
        <w:ilvl w:val="1"/>
        <w:numId w:val="7"/>
      </w:numPr>
      <w:spacing w:before="240" w:after="120" w:line="312" w:lineRule="atLeast"/>
      <w:ind w:left="578" w:hanging="578"/>
      <w:outlineLvl w:val="1"/>
    </w:pPr>
    <w:rPr>
      <w:rFonts w:ascii="Times New Roman" w:hAnsi="Times New Roman"/>
      <w:i/>
      <w:sz w:val="24"/>
      <w:szCs w:val="24"/>
    </w:rPr>
  </w:style>
  <w:style w:type="paragraph" w:styleId="Heading3">
    <w:name w:val="heading 3"/>
    <w:basedOn w:val="Normal"/>
    <w:next w:val="Normal"/>
    <w:link w:val="Heading3Char"/>
    <w:qFormat/>
    <w:locked/>
    <w:rsid w:val="002A647A"/>
    <w:pPr>
      <w:keepNext/>
      <w:numPr>
        <w:ilvl w:val="2"/>
        <w:numId w:val="7"/>
      </w:numPr>
      <w:spacing w:before="240" w:after="120" w:line="240" w:lineRule="auto"/>
      <w:outlineLvl w:val="2"/>
    </w:pPr>
    <w:rPr>
      <w:rFonts w:ascii="Times New Roman" w:hAnsi="Times New Roman"/>
      <w:lang w:val="fr-FR"/>
    </w:rPr>
  </w:style>
  <w:style w:type="paragraph" w:styleId="Heading4">
    <w:name w:val="heading 4"/>
    <w:basedOn w:val="Normal"/>
    <w:next w:val="Normal"/>
    <w:link w:val="Heading4Char"/>
    <w:qFormat/>
    <w:locked/>
    <w:rsid w:val="002A647A"/>
    <w:pPr>
      <w:keepNext/>
      <w:numPr>
        <w:ilvl w:val="3"/>
        <w:numId w:val="7"/>
      </w:numPr>
      <w:spacing w:before="240" w:after="60" w:line="240" w:lineRule="auto"/>
      <w:jc w:val="both"/>
      <w:outlineLvl w:val="3"/>
    </w:pPr>
    <w:rPr>
      <w:rFonts w:ascii="Times New Roman" w:hAnsi="Times New Roman"/>
      <w:b/>
      <w:sz w:val="20"/>
      <w:szCs w:val="20"/>
      <w:lang w:val="fr-FR"/>
    </w:rPr>
  </w:style>
  <w:style w:type="paragraph" w:styleId="Heading5">
    <w:name w:val="heading 5"/>
    <w:basedOn w:val="Normal"/>
    <w:next w:val="Normal"/>
    <w:link w:val="Heading5Char"/>
    <w:qFormat/>
    <w:locked/>
    <w:rsid w:val="002A647A"/>
    <w:pPr>
      <w:numPr>
        <w:ilvl w:val="4"/>
        <w:numId w:val="7"/>
      </w:numPr>
      <w:spacing w:before="240" w:after="60" w:line="240" w:lineRule="auto"/>
      <w:jc w:val="both"/>
      <w:outlineLvl w:val="4"/>
    </w:pPr>
    <w:rPr>
      <w:rFonts w:ascii="Times New Roman" w:hAnsi="Times New Roman"/>
      <w:b/>
      <w:sz w:val="20"/>
      <w:szCs w:val="20"/>
      <w:lang w:val="fr-FR"/>
    </w:rPr>
  </w:style>
  <w:style w:type="paragraph" w:styleId="Heading6">
    <w:name w:val="heading 6"/>
    <w:basedOn w:val="Normal"/>
    <w:next w:val="Normal"/>
    <w:link w:val="Heading6Char"/>
    <w:qFormat/>
    <w:locked/>
    <w:rsid w:val="002A647A"/>
    <w:pPr>
      <w:numPr>
        <w:ilvl w:val="5"/>
        <w:numId w:val="7"/>
      </w:numPr>
      <w:spacing w:before="240" w:after="60" w:line="240" w:lineRule="auto"/>
      <w:jc w:val="both"/>
      <w:outlineLvl w:val="5"/>
    </w:pPr>
    <w:rPr>
      <w:rFonts w:ascii="Times New Roman" w:hAnsi="Times New Roman"/>
      <w:b/>
      <w:sz w:val="20"/>
      <w:szCs w:val="20"/>
      <w:lang w:val="fr-FR"/>
    </w:rPr>
  </w:style>
  <w:style w:type="paragraph" w:styleId="Heading7">
    <w:name w:val="heading 7"/>
    <w:basedOn w:val="Normal"/>
    <w:next w:val="Normal"/>
    <w:link w:val="Heading7Char"/>
    <w:qFormat/>
    <w:locked/>
    <w:rsid w:val="002A647A"/>
    <w:pPr>
      <w:keepNext/>
      <w:widowControl w:val="0"/>
      <w:numPr>
        <w:ilvl w:val="6"/>
        <w:numId w:val="7"/>
      </w:numPr>
      <w:spacing w:after="0" w:line="312" w:lineRule="atLeast"/>
      <w:jc w:val="center"/>
      <w:outlineLvl w:val="6"/>
    </w:pPr>
    <w:rPr>
      <w:rFonts w:ascii="Times New Roman" w:hAnsi="Times New Roman"/>
      <w:b/>
      <w:sz w:val="20"/>
      <w:szCs w:val="20"/>
    </w:rPr>
  </w:style>
  <w:style w:type="paragraph" w:styleId="Heading8">
    <w:name w:val="heading 8"/>
    <w:basedOn w:val="Normal"/>
    <w:next w:val="Normal"/>
    <w:link w:val="Heading8Char"/>
    <w:qFormat/>
    <w:locked/>
    <w:rsid w:val="002A647A"/>
    <w:pPr>
      <w:keepNext/>
      <w:widowControl w:val="0"/>
      <w:numPr>
        <w:ilvl w:val="7"/>
        <w:numId w:val="7"/>
      </w:numPr>
      <w:spacing w:after="0" w:line="312" w:lineRule="atLeast"/>
      <w:jc w:val="center"/>
      <w:outlineLvl w:val="7"/>
    </w:pPr>
    <w:rPr>
      <w:rFonts w:ascii="Times New Roman" w:hAnsi="Times New Roman"/>
      <w:b/>
      <w:sz w:val="20"/>
      <w:szCs w:val="20"/>
    </w:rPr>
  </w:style>
  <w:style w:type="paragraph" w:styleId="Heading9">
    <w:name w:val="heading 9"/>
    <w:basedOn w:val="Normal"/>
    <w:next w:val="Normal"/>
    <w:link w:val="Heading9Char"/>
    <w:qFormat/>
    <w:locked/>
    <w:rsid w:val="002A647A"/>
    <w:pPr>
      <w:numPr>
        <w:ilvl w:val="8"/>
        <w:numId w:val="7"/>
      </w:numPr>
      <w:spacing w:before="240" w:after="60" w:line="240" w:lineRule="auto"/>
      <w:jc w:val="both"/>
      <w:outlineLvl w:val="8"/>
    </w:pPr>
    <w:rPr>
      <w:rFonts w:ascii="Arial" w:hAnsi="Arial"/>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E2"/>
    <w:pPr>
      <w:ind w:left="720"/>
    </w:pPr>
  </w:style>
  <w:style w:type="paragraph" w:styleId="FootnoteText">
    <w:name w:val="footnote text"/>
    <w:basedOn w:val="Normal"/>
    <w:link w:val="FootnoteTextChar"/>
    <w:semiHidden/>
    <w:rsid w:val="00513B27"/>
    <w:pPr>
      <w:spacing w:after="0" w:line="240" w:lineRule="auto"/>
    </w:pPr>
    <w:rPr>
      <w:sz w:val="20"/>
      <w:szCs w:val="20"/>
    </w:rPr>
  </w:style>
  <w:style w:type="character" w:customStyle="1" w:styleId="FootnoteTextChar">
    <w:name w:val="Footnote Text Char"/>
    <w:link w:val="FootnoteText"/>
    <w:semiHidden/>
    <w:locked/>
    <w:rsid w:val="00513B27"/>
    <w:rPr>
      <w:rFonts w:cs="Times New Roman"/>
      <w:sz w:val="20"/>
      <w:szCs w:val="20"/>
    </w:rPr>
  </w:style>
  <w:style w:type="character" w:styleId="FootnoteReference">
    <w:name w:val="footnote reference"/>
    <w:semiHidden/>
    <w:rsid w:val="00513B27"/>
    <w:rPr>
      <w:rFonts w:cs="Times New Roman"/>
      <w:vertAlign w:val="superscript"/>
    </w:rPr>
  </w:style>
  <w:style w:type="paragraph" w:styleId="EndnoteText">
    <w:name w:val="endnote text"/>
    <w:basedOn w:val="Normal"/>
    <w:link w:val="EndnoteTextChar"/>
    <w:semiHidden/>
    <w:rsid w:val="008C772E"/>
    <w:pPr>
      <w:spacing w:after="0" w:line="240" w:lineRule="auto"/>
    </w:pPr>
    <w:rPr>
      <w:sz w:val="20"/>
      <w:szCs w:val="20"/>
    </w:rPr>
  </w:style>
  <w:style w:type="character" w:customStyle="1" w:styleId="EndnoteTextChar">
    <w:name w:val="Endnote Text Char"/>
    <w:link w:val="EndnoteText"/>
    <w:semiHidden/>
    <w:locked/>
    <w:rsid w:val="008C772E"/>
    <w:rPr>
      <w:rFonts w:cs="Times New Roman"/>
      <w:sz w:val="20"/>
      <w:szCs w:val="20"/>
    </w:rPr>
  </w:style>
  <w:style w:type="character" w:styleId="EndnoteReference">
    <w:name w:val="endnote reference"/>
    <w:semiHidden/>
    <w:rsid w:val="008C772E"/>
    <w:rPr>
      <w:rFonts w:cs="Times New Roman"/>
      <w:vertAlign w:val="superscript"/>
    </w:rPr>
  </w:style>
  <w:style w:type="table" w:styleId="TableGrid">
    <w:name w:val="Table Grid"/>
    <w:basedOn w:val="TableNormal"/>
    <w:rsid w:val="008C7F7F"/>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8C7F7F"/>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7F7F"/>
    <w:rPr>
      <w:rFonts w:ascii="Tahoma" w:hAnsi="Tahoma" w:cs="Tahoma"/>
      <w:sz w:val="16"/>
      <w:szCs w:val="16"/>
    </w:rPr>
  </w:style>
  <w:style w:type="character" w:styleId="Hyperlink">
    <w:name w:val="Hyperlink"/>
    <w:rsid w:val="009214AA"/>
    <w:rPr>
      <w:rFonts w:cs="Times New Roman"/>
      <w:color w:val="0000FF"/>
      <w:u w:val="single"/>
    </w:rPr>
  </w:style>
  <w:style w:type="paragraph" w:styleId="Title">
    <w:name w:val="Title"/>
    <w:basedOn w:val="Normal"/>
    <w:link w:val="TitleChar"/>
    <w:qFormat/>
    <w:locked/>
    <w:rsid w:val="00A27B1D"/>
    <w:pPr>
      <w:spacing w:after="0" w:line="240" w:lineRule="auto"/>
      <w:jc w:val="center"/>
    </w:pPr>
    <w:rPr>
      <w:rFonts w:ascii="Times New Roman" w:hAnsi="Times New Roman"/>
      <w:b/>
      <w:bCs/>
      <w:sz w:val="24"/>
      <w:szCs w:val="24"/>
      <w:lang w:val="ro-RO"/>
    </w:rPr>
  </w:style>
  <w:style w:type="character" w:customStyle="1" w:styleId="TitleChar">
    <w:name w:val="Title Char"/>
    <w:link w:val="Title"/>
    <w:rsid w:val="00A27B1D"/>
    <w:rPr>
      <w:rFonts w:ascii="Times New Roman" w:eastAsia="Times New Roman" w:hAnsi="Times New Roman"/>
      <w:b/>
      <w:bCs/>
      <w:sz w:val="24"/>
      <w:szCs w:val="24"/>
      <w:lang w:eastAsia="en-US"/>
    </w:rPr>
  </w:style>
  <w:style w:type="character" w:customStyle="1" w:styleId="hps">
    <w:name w:val="hps"/>
    <w:rsid w:val="004F0132"/>
  </w:style>
  <w:style w:type="character" w:customStyle="1" w:styleId="gi">
    <w:name w:val="gi"/>
    <w:rsid w:val="004F0132"/>
  </w:style>
  <w:style w:type="character" w:customStyle="1" w:styleId="Heading1Char">
    <w:name w:val="Heading 1 Char"/>
    <w:link w:val="Heading1"/>
    <w:rsid w:val="002A647A"/>
    <w:rPr>
      <w:rFonts w:ascii="Times New Roman" w:eastAsia="Times New Roman" w:hAnsi="Times New Roman"/>
      <w:caps/>
      <w:sz w:val="24"/>
      <w:lang w:val="fr-FR"/>
    </w:rPr>
  </w:style>
  <w:style w:type="character" w:customStyle="1" w:styleId="Heading2Char">
    <w:name w:val="Heading 2 Char"/>
    <w:link w:val="Heading2"/>
    <w:rsid w:val="002A647A"/>
    <w:rPr>
      <w:rFonts w:ascii="Times New Roman" w:eastAsia="Times New Roman" w:hAnsi="Times New Roman"/>
      <w:i/>
      <w:sz w:val="24"/>
      <w:szCs w:val="24"/>
    </w:rPr>
  </w:style>
  <w:style w:type="character" w:customStyle="1" w:styleId="Heading3Char">
    <w:name w:val="Heading 3 Char"/>
    <w:link w:val="Heading3"/>
    <w:rsid w:val="002A647A"/>
    <w:rPr>
      <w:rFonts w:ascii="Times New Roman" w:eastAsia="Times New Roman" w:hAnsi="Times New Roman"/>
      <w:sz w:val="22"/>
      <w:szCs w:val="22"/>
      <w:lang w:val="fr-FR"/>
    </w:rPr>
  </w:style>
  <w:style w:type="character" w:customStyle="1" w:styleId="Heading4Char">
    <w:name w:val="Heading 4 Char"/>
    <w:link w:val="Heading4"/>
    <w:rsid w:val="002A647A"/>
    <w:rPr>
      <w:rFonts w:ascii="Times New Roman" w:eastAsia="Times New Roman" w:hAnsi="Times New Roman"/>
      <w:b/>
      <w:lang w:val="fr-FR"/>
    </w:rPr>
  </w:style>
  <w:style w:type="character" w:customStyle="1" w:styleId="Heading5Char">
    <w:name w:val="Heading 5 Char"/>
    <w:link w:val="Heading5"/>
    <w:rsid w:val="002A647A"/>
    <w:rPr>
      <w:rFonts w:ascii="Times New Roman" w:eastAsia="Times New Roman" w:hAnsi="Times New Roman"/>
      <w:b/>
      <w:lang w:val="fr-FR"/>
    </w:rPr>
  </w:style>
  <w:style w:type="character" w:customStyle="1" w:styleId="Heading6Char">
    <w:name w:val="Heading 6 Char"/>
    <w:link w:val="Heading6"/>
    <w:rsid w:val="002A647A"/>
    <w:rPr>
      <w:rFonts w:ascii="Times New Roman" w:eastAsia="Times New Roman" w:hAnsi="Times New Roman"/>
      <w:b/>
      <w:lang w:val="fr-FR"/>
    </w:rPr>
  </w:style>
  <w:style w:type="character" w:customStyle="1" w:styleId="Heading7Char">
    <w:name w:val="Heading 7 Char"/>
    <w:link w:val="Heading7"/>
    <w:rsid w:val="002A647A"/>
    <w:rPr>
      <w:rFonts w:ascii="Times New Roman" w:eastAsia="Times New Roman" w:hAnsi="Times New Roman"/>
      <w:b/>
    </w:rPr>
  </w:style>
  <w:style w:type="character" w:customStyle="1" w:styleId="Heading8Char">
    <w:name w:val="Heading 8 Char"/>
    <w:link w:val="Heading8"/>
    <w:rsid w:val="002A647A"/>
    <w:rPr>
      <w:rFonts w:ascii="Times New Roman" w:eastAsia="Times New Roman" w:hAnsi="Times New Roman"/>
      <w:b/>
    </w:rPr>
  </w:style>
  <w:style w:type="character" w:customStyle="1" w:styleId="Heading9Char">
    <w:name w:val="Heading 9 Char"/>
    <w:link w:val="Heading9"/>
    <w:rsid w:val="002A647A"/>
    <w:rPr>
      <w:rFonts w:ascii="Arial" w:eastAsia="Times New Roman" w:hAnsi="Arial"/>
      <w:sz w:val="22"/>
      <w:lang w:val="fr-FR"/>
    </w:rPr>
  </w:style>
  <w:style w:type="paragraph" w:customStyle="1" w:styleId="references">
    <w:name w:val="references"/>
    <w:rsid w:val="002A647A"/>
    <w:pPr>
      <w:numPr>
        <w:numId w:val="6"/>
      </w:numPr>
      <w:spacing w:after="50" w:line="180" w:lineRule="exact"/>
      <w:jc w:val="both"/>
    </w:pPr>
    <w:rPr>
      <w:rFonts w:ascii="Times New Roman" w:eastAsia="MS Mincho" w:hAnsi="Times New Roman"/>
      <w:noProof/>
      <w:sz w:val="16"/>
      <w:szCs w:val="16"/>
      <w:lang w:val="en-US" w:eastAsia="en-US"/>
    </w:rPr>
  </w:style>
  <w:style w:type="character" w:customStyle="1" w:styleId="hpsatn">
    <w:name w:val="hps atn"/>
    <w:rsid w:val="002A647A"/>
  </w:style>
  <w:style w:type="paragraph" w:customStyle="1" w:styleId="Listareferinte">
    <w:name w:val="Lista referinte"/>
    <w:basedOn w:val="BodyText"/>
    <w:rsid w:val="00A34CA3"/>
    <w:pPr>
      <w:tabs>
        <w:tab w:val="left" w:pos="432"/>
        <w:tab w:val="left" w:pos="864"/>
      </w:tabs>
      <w:spacing w:before="60" w:after="60" w:line="240" w:lineRule="auto"/>
      <w:ind w:left="284" w:right="28" w:hanging="284"/>
      <w:jc w:val="both"/>
    </w:pPr>
    <w:rPr>
      <w:rFonts w:ascii="Times New Roman" w:hAnsi="Times New Roman"/>
      <w:sz w:val="20"/>
    </w:rPr>
  </w:style>
  <w:style w:type="paragraph" w:styleId="BodyText">
    <w:name w:val="Body Text"/>
    <w:basedOn w:val="Normal"/>
    <w:link w:val="BodyTextChar"/>
    <w:rsid w:val="00A34CA3"/>
    <w:pPr>
      <w:spacing w:after="120"/>
    </w:pPr>
  </w:style>
  <w:style w:type="character" w:customStyle="1" w:styleId="BodyTextChar">
    <w:name w:val="Body Text Char"/>
    <w:link w:val="BodyText"/>
    <w:rsid w:val="00A34CA3"/>
    <w:rPr>
      <w:rFonts w:eastAsia="Times New Roman"/>
      <w:sz w:val="22"/>
      <w:szCs w:val="22"/>
    </w:rPr>
  </w:style>
  <w:style w:type="character" w:customStyle="1" w:styleId="a">
    <w:name w:val="a"/>
    <w:rsid w:val="00A8647C"/>
  </w:style>
  <w:style w:type="character" w:customStyle="1" w:styleId="st">
    <w:name w:val="st"/>
    <w:rsid w:val="00A8647C"/>
  </w:style>
  <w:style w:type="character" w:customStyle="1" w:styleId="searchword">
    <w:name w:val="searchword"/>
    <w:rsid w:val="00A8647C"/>
  </w:style>
  <w:style w:type="character" w:customStyle="1" w:styleId="shorttext">
    <w:name w:val="short_text"/>
    <w:basedOn w:val="DefaultParagraphFont"/>
    <w:rsid w:val="0029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64894">
      <w:bodyDiv w:val="1"/>
      <w:marLeft w:val="0"/>
      <w:marRight w:val="0"/>
      <w:marTop w:val="0"/>
      <w:marBottom w:val="0"/>
      <w:divBdr>
        <w:top w:val="none" w:sz="0" w:space="0" w:color="auto"/>
        <w:left w:val="none" w:sz="0" w:space="0" w:color="auto"/>
        <w:bottom w:val="none" w:sz="0" w:space="0" w:color="auto"/>
        <w:right w:val="none" w:sz="0" w:space="0" w:color="auto"/>
      </w:divBdr>
      <w:divsChild>
        <w:div w:id="153689973">
          <w:marLeft w:val="0"/>
          <w:marRight w:val="0"/>
          <w:marTop w:val="0"/>
          <w:marBottom w:val="0"/>
          <w:divBdr>
            <w:top w:val="none" w:sz="0" w:space="0" w:color="auto"/>
            <w:left w:val="none" w:sz="0" w:space="0" w:color="auto"/>
            <w:bottom w:val="none" w:sz="0" w:space="0" w:color="auto"/>
            <w:right w:val="none" w:sz="0" w:space="0" w:color="auto"/>
          </w:divBdr>
        </w:div>
        <w:div w:id="317617010">
          <w:marLeft w:val="0"/>
          <w:marRight w:val="0"/>
          <w:marTop w:val="0"/>
          <w:marBottom w:val="0"/>
          <w:divBdr>
            <w:top w:val="none" w:sz="0" w:space="0" w:color="auto"/>
            <w:left w:val="none" w:sz="0" w:space="0" w:color="auto"/>
            <w:bottom w:val="none" w:sz="0" w:space="0" w:color="auto"/>
            <w:right w:val="none" w:sz="0" w:space="0" w:color="auto"/>
          </w:divBdr>
        </w:div>
        <w:div w:id="342054604">
          <w:marLeft w:val="0"/>
          <w:marRight w:val="0"/>
          <w:marTop w:val="0"/>
          <w:marBottom w:val="0"/>
          <w:divBdr>
            <w:top w:val="none" w:sz="0" w:space="0" w:color="auto"/>
            <w:left w:val="none" w:sz="0" w:space="0" w:color="auto"/>
            <w:bottom w:val="none" w:sz="0" w:space="0" w:color="auto"/>
            <w:right w:val="none" w:sz="0" w:space="0" w:color="auto"/>
          </w:divBdr>
        </w:div>
        <w:div w:id="368722458">
          <w:marLeft w:val="0"/>
          <w:marRight w:val="0"/>
          <w:marTop w:val="0"/>
          <w:marBottom w:val="0"/>
          <w:divBdr>
            <w:top w:val="none" w:sz="0" w:space="0" w:color="auto"/>
            <w:left w:val="none" w:sz="0" w:space="0" w:color="auto"/>
            <w:bottom w:val="none" w:sz="0" w:space="0" w:color="auto"/>
            <w:right w:val="none" w:sz="0" w:space="0" w:color="auto"/>
          </w:divBdr>
        </w:div>
        <w:div w:id="421222945">
          <w:marLeft w:val="0"/>
          <w:marRight w:val="0"/>
          <w:marTop w:val="0"/>
          <w:marBottom w:val="0"/>
          <w:divBdr>
            <w:top w:val="none" w:sz="0" w:space="0" w:color="auto"/>
            <w:left w:val="none" w:sz="0" w:space="0" w:color="auto"/>
            <w:bottom w:val="none" w:sz="0" w:space="0" w:color="auto"/>
            <w:right w:val="none" w:sz="0" w:space="0" w:color="auto"/>
          </w:divBdr>
        </w:div>
        <w:div w:id="655914006">
          <w:marLeft w:val="0"/>
          <w:marRight w:val="0"/>
          <w:marTop w:val="0"/>
          <w:marBottom w:val="0"/>
          <w:divBdr>
            <w:top w:val="none" w:sz="0" w:space="0" w:color="auto"/>
            <w:left w:val="none" w:sz="0" w:space="0" w:color="auto"/>
            <w:bottom w:val="none" w:sz="0" w:space="0" w:color="auto"/>
            <w:right w:val="none" w:sz="0" w:space="0" w:color="auto"/>
          </w:divBdr>
        </w:div>
        <w:div w:id="747387178">
          <w:marLeft w:val="0"/>
          <w:marRight w:val="0"/>
          <w:marTop w:val="0"/>
          <w:marBottom w:val="0"/>
          <w:divBdr>
            <w:top w:val="none" w:sz="0" w:space="0" w:color="auto"/>
            <w:left w:val="none" w:sz="0" w:space="0" w:color="auto"/>
            <w:bottom w:val="none" w:sz="0" w:space="0" w:color="auto"/>
            <w:right w:val="none" w:sz="0" w:space="0" w:color="auto"/>
          </w:divBdr>
        </w:div>
        <w:div w:id="1447651681">
          <w:marLeft w:val="0"/>
          <w:marRight w:val="0"/>
          <w:marTop w:val="0"/>
          <w:marBottom w:val="0"/>
          <w:divBdr>
            <w:top w:val="none" w:sz="0" w:space="0" w:color="auto"/>
            <w:left w:val="none" w:sz="0" w:space="0" w:color="auto"/>
            <w:bottom w:val="none" w:sz="0" w:space="0" w:color="auto"/>
            <w:right w:val="none" w:sz="0" w:space="0" w:color="auto"/>
          </w:divBdr>
        </w:div>
        <w:div w:id="1492521496">
          <w:marLeft w:val="0"/>
          <w:marRight w:val="0"/>
          <w:marTop w:val="0"/>
          <w:marBottom w:val="0"/>
          <w:divBdr>
            <w:top w:val="none" w:sz="0" w:space="0" w:color="auto"/>
            <w:left w:val="none" w:sz="0" w:space="0" w:color="auto"/>
            <w:bottom w:val="none" w:sz="0" w:space="0" w:color="auto"/>
            <w:right w:val="none" w:sz="0" w:space="0" w:color="auto"/>
          </w:divBdr>
        </w:div>
        <w:div w:id="1543442670">
          <w:marLeft w:val="0"/>
          <w:marRight w:val="0"/>
          <w:marTop w:val="0"/>
          <w:marBottom w:val="0"/>
          <w:divBdr>
            <w:top w:val="none" w:sz="0" w:space="0" w:color="auto"/>
            <w:left w:val="none" w:sz="0" w:space="0" w:color="auto"/>
            <w:bottom w:val="none" w:sz="0" w:space="0" w:color="auto"/>
            <w:right w:val="none" w:sz="0" w:space="0" w:color="auto"/>
          </w:divBdr>
        </w:div>
        <w:div w:id="1758361279">
          <w:marLeft w:val="0"/>
          <w:marRight w:val="0"/>
          <w:marTop w:val="0"/>
          <w:marBottom w:val="0"/>
          <w:divBdr>
            <w:top w:val="none" w:sz="0" w:space="0" w:color="auto"/>
            <w:left w:val="none" w:sz="0" w:space="0" w:color="auto"/>
            <w:bottom w:val="none" w:sz="0" w:space="0" w:color="auto"/>
            <w:right w:val="none" w:sz="0" w:space="0" w:color="auto"/>
          </w:divBdr>
        </w:div>
        <w:div w:id="208656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x.doi.org/10.2139/ssrn.1405505"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Registru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Foaie1!$D$10</c:f>
              <c:strCache>
                <c:ptCount val="1"/>
                <c:pt idx="0">
                  <c:v>Current ratio </c:v>
                </c:pt>
              </c:strCache>
            </c:strRef>
          </c:tx>
          <c:dLbls>
            <c:txPr>
              <a:bodyPr/>
              <a:lstStyle/>
              <a:p>
                <a:pPr>
                  <a:defRPr>
                    <a:latin typeface="Times New Roman" pitchFamily="18" charset="0"/>
                    <a:cs typeface="Times New Roman" pitchFamily="18" charset="0"/>
                  </a:defRPr>
                </a:pPr>
                <a:endParaRPr lang="ro-RO"/>
              </a:p>
            </c:txPr>
            <c:showLegendKey val="0"/>
            <c:showVal val="1"/>
            <c:showCatName val="0"/>
            <c:showSerName val="0"/>
            <c:showPercent val="0"/>
            <c:showBubbleSize val="0"/>
            <c:showLeaderLines val="0"/>
          </c:dLbls>
          <c:cat>
            <c:numRef>
              <c:f>Foaie1!$E$9:$J$9</c:f>
              <c:numCache>
                <c:formatCode>General</c:formatCode>
                <c:ptCount val="6"/>
                <c:pt idx="0">
                  <c:v>2006</c:v>
                </c:pt>
                <c:pt idx="1">
                  <c:v>2007</c:v>
                </c:pt>
                <c:pt idx="2">
                  <c:v>2008</c:v>
                </c:pt>
                <c:pt idx="3">
                  <c:v>2009</c:v>
                </c:pt>
                <c:pt idx="4">
                  <c:v>2010</c:v>
                </c:pt>
                <c:pt idx="5">
                  <c:v>2011</c:v>
                </c:pt>
              </c:numCache>
            </c:numRef>
          </c:cat>
          <c:val>
            <c:numRef>
              <c:f>Foaie1!$E$10:$J$10</c:f>
              <c:numCache>
                <c:formatCode>General</c:formatCode>
                <c:ptCount val="6"/>
                <c:pt idx="0">
                  <c:v>1.88</c:v>
                </c:pt>
                <c:pt idx="1">
                  <c:v>2.0099999999999998</c:v>
                </c:pt>
                <c:pt idx="2">
                  <c:v>2.41</c:v>
                </c:pt>
                <c:pt idx="3">
                  <c:v>2.5299999999999998</c:v>
                </c:pt>
                <c:pt idx="4">
                  <c:v>2.63</c:v>
                </c:pt>
                <c:pt idx="5">
                  <c:v>2.4900000000000002</c:v>
                </c:pt>
              </c:numCache>
            </c:numRef>
          </c:val>
          <c:smooth val="0"/>
        </c:ser>
        <c:ser>
          <c:idx val="1"/>
          <c:order val="1"/>
          <c:tx>
            <c:strRef>
              <c:f>Foaie1!$D$11</c:f>
              <c:strCache>
                <c:ptCount val="1"/>
                <c:pt idx="0">
                  <c:v>Solvency </c:v>
                </c:pt>
              </c:strCache>
            </c:strRef>
          </c:tx>
          <c:dLbls>
            <c:txPr>
              <a:bodyPr/>
              <a:lstStyle/>
              <a:p>
                <a:pPr>
                  <a:defRPr>
                    <a:latin typeface="Times New Roman" pitchFamily="18" charset="0"/>
                    <a:cs typeface="Times New Roman" pitchFamily="18" charset="0"/>
                  </a:defRPr>
                </a:pPr>
                <a:endParaRPr lang="ro-RO"/>
              </a:p>
            </c:txPr>
            <c:showLegendKey val="0"/>
            <c:showVal val="1"/>
            <c:showCatName val="0"/>
            <c:showSerName val="0"/>
            <c:showPercent val="0"/>
            <c:showBubbleSize val="0"/>
            <c:showLeaderLines val="0"/>
          </c:dLbls>
          <c:cat>
            <c:numRef>
              <c:f>Foaie1!$E$9:$J$9</c:f>
              <c:numCache>
                <c:formatCode>General</c:formatCode>
                <c:ptCount val="6"/>
                <c:pt idx="0">
                  <c:v>2006</c:v>
                </c:pt>
                <c:pt idx="1">
                  <c:v>2007</c:v>
                </c:pt>
                <c:pt idx="2">
                  <c:v>2008</c:v>
                </c:pt>
                <c:pt idx="3">
                  <c:v>2009</c:v>
                </c:pt>
                <c:pt idx="4">
                  <c:v>2010</c:v>
                </c:pt>
                <c:pt idx="5">
                  <c:v>2011</c:v>
                </c:pt>
              </c:numCache>
            </c:numRef>
          </c:cat>
          <c:val>
            <c:numRef>
              <c:f>Foaie1!$E$11:$J$11</c:f>
              <c:numCache>
                <c:formatCode>General</c:formatCode>
                <c:ptCount val="6"/>
                <c:pt idx="0">
                  <c:v>9.49</c:v>
                </c:pt>
                <c:pt idx="1">
                  <c:v>9.09</c:v>
                </c:pt>
                <c:pt idx="2">
                  <c:v>14.7</c:v>
                </c:pt>
                <c:pt idx="3">
                  <c:v>15.02</c:v>
                </c:pt>
                <c:pt idx="4">
                  <c:v>13.71</c:v>
                </c:pt>
                <c:pt idx="5">
                  <c:v>14.28</c:v>
                </c:pt>
              </c:numCache>
            </c:numRef>
          </c:val>
          <c:smooth val="0"/>
        </c:ser>
        <c:dLbls>
          <c:showLegendKey val="0"/>
          <c:showVal val="0"/>
          <c:showCatName val="0"/>
          <c:showSerName val="0"/>
          <c:showPercent val="0"/>
          <c:showBubbleSize val="0"/>
        </c:dLbls>
        <c:marker val="1"/>
        <c:smooth val="0"/>
        <c:axId val="114288128"/>
        <c:axId val="82766656"/>
      </c:lineChart>
      <c:catAx>
        <c:axId val="11428812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o-RO"/>
          </a:p>
        </c:txPr>
        <c:crossAx val="82766656"/>
        <c:crosses val="autoZero"/>
        <c:auto val="1"/>
        <c:lblAlgn val="ctr"/>
        <c:lblOffset val="100"/>
        <c:noMultiLvlLbl val="0"/>
      </c:catAx>
      <c:valAx>
        <c:axId val="8276665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o-RO"/>
          </a:p>
        </c:txPr>
        <c:crossAx val="114288128"/>
        <c:crosses val="autoZero"/>
        <c:crossBetween val="between"/>
      </c:valAx>
    </c:plotArea>
    <c:legend>
      <c:legendPos val="b"/>
      <c:legendEntry>
        <c:idx val="0"/>
        <c:txPr>
          <a:bodyPr/>
          <a:lstStyle/>
          <a:p>
            <a:pPr>
              <a:defRPr>
                <a:latin typeface="Times New Roman" pitchFamily="18" charset="0"/>
                <a:cs typeface="Times New Roman" pitchFamily="18" charset="0"/>
              </a:defRPr>
            </a:pPr>
            <a:endParaRPr lang="ro-RO"/>
          </a:p>
        </c:txPr>
      </c:legendEntry>
      <c:legendEntry>
        <c:idx val="1"/>
        <c:txPr>
          <a:bodyPr/>
          <a:lstStyle/>
          <a:p>
            <a:pPr>
              <a:defRPr>
                <a:latin typeface="Times New Roman" pitchFamily="18" charset="0"/>
                <a:cs typeface="Times New Roman" pitchFamily="18" charset="0"/>
              </a:defRPr>
            </a:pPr>
            <a:endParaRPr lang="ro-RO"/>
          </a:p>
        </c:txPr>
      </c:legendEntry>
      <c:overlay val="0"/>
    </c:legend>
    <c:plotVisOnly val="1"/>
    <c:dispBlanksAs val="zero"/>
    <c:showDLblsOverMax val="0"/>
  </c:chart>
  <c:spPr>
    <a:solidFill>
      <a:schemeClr val="accent5">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904A-11AA-4C79-9118-EFC5AAC1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3079</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 rânduri libere, 11p)</vt:lpstr>
    </vt:vector>
  </TitlesOfParts>
  <Company>Home</Company>
  <LinksUpToDate>false</LinksUpToDate>
  <CharactersWithSpaces>20897</CharactersWithSpaces>
  <SharedDoc>false</SharedDoc>
  <HLinks>
    <vt:vector size="6" baseType="variant">
      <vt:variant>
        <vt:i4>8323197</vt:i4>
      </vt:variant>
      <vt:variant>
        <vt:i4>27</vt:i4>
      </vt:variant>
      <vt:variant>
        <vt:i4>0</vt:i4>
      </vt:variant>
      <vt:variant>
        <vt:i4>5</vt:i4>
      </vt:variant>
      <vt:variant>
        <vt:lpwstr>http://dx.doi.org/10.2139/ssrn.1405505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rânduri libere, 11p)</dc:title>
  <dc:creator>pc</dc:creator>
  <cp:lastModifiedBy>-</cp:lastModifiedBy>
  <cp:revision>2</cp:revision>
  <dcterms:created xsi:type="dcterms:W3CDTF">2017-05-08T13:26:00Z</dcterms:created>
  <dcterms:modified xsi:type="dcterms:W3CDTF">2017-05-08T13:26:00Z</dcterms:modified>
</cp:coreProperties>
</file>